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32F912">
      <w:pPr>
        <w:autoSpaceDE w:val="0"/>
        <w:autoSpaceDN w:val="0"/>
        <w:adjustRightInd w:val="0"/>
        <w:jc w:val="center"/>
        <w:rPr>
          <w:rFonts w:hint="eastAsia" w:ascii="黑体" w:hAnsi="黑体" w:eastAsia="黑体" w:cs="黑体"/>
          <w:b/>
          <w:bCs/>
          <w:kern w:val="0"/>
          <w:sz w:val="44"/>
          <w:szCs w:val="44"/>
          <w:lang w:val="en-US" w:eastAsia="zh-CN"/>
        </w:rPr>
      </w:pPr>
      <w:r>
        <w:rPr>
          <w:rFonts w:hint="eastAsia" w:ascii="黑体" w:hAnsi="黑体" w:eastAsia="黑体" w:cs="黑体"/>
          <w:b/>
          <w:bCs/>
          <w:kern w:val="0"/>
          <w:sz w:val="44"/>
          <w:szCs w:val="44"/>
        </w:rPr>
        <w:t>（</w:t>
      </w:r>
      <w:r>
        <w:rPr>
          <w:rFonts w:hint="eastAsia" w:ascii="黑体" w:hAnsi="黑体" w:eastAsia="黑体" w:cs="黑体"/>
          <w:b/>
          <w:bCs/>
          <w:kern w:val="0"/>
          <w:sz w:val="44"/>
          <w:szCs w:val="44"/>
          <w:u w:val="single"/>
        </w:rPr>
        <w:t>中原油田</w:t>
      </w:r>
      <w:r>
        <w:rPr>
          <w:rFonts w:hint="eastAsia" w:ascii="黑体" w:hAnsi="黑体" w:eastAsia="黑体" w:cs="黑体"/>
          <w:b/>
          <w:bCs/>
          <w:kern w:val="0"/>
          <w:sz w:val="44"/>
          <w:szCs w:val="44"/>
          <w:u w:val="single"/>
          <w:lang w:eastAsia="zh-CN"/>
        </w:rPr>
        <w:t>采油气工程服务中心</w:t>
      </w:r>
      <w:r>
        <w:rPr>
          <w:rFonts w:hint="eastAsia" w:ascii="黑体" w:hAnsi="黑体" w:eastAsia="黑体" w:cs="黑体"/>
          <w:b/>
          <w:bCs/>
          <w:kern w:val="0"/>
          <w:sz w:val="44"/>
          <w:szCs w:val="44"/>
          <w:u w:val="single"/>
        </w:rPr>
        <w:t>废旧物资</w:t>
      </w:r>
      <w:r>
        <w:rPr>
          <w:rFonts w:hint="eastAsia" w:ascii="黑体" w:hAnsi="黑体" w:eastAsia="黑体" w:cs="黑体"/>
          <w:b/>
          <w:bCs/>
          <w:kern w:val="0"/>
          <w:sz w:val="44"/>
          <w:szCs w:val="44"/>
        </w:rPr>
        <w:t>）</w:t>
      </w:r>
      <w:r>
        <w:rPr>
          <w:rFonts w:hint="eastAsia" w:ascii="黑体" w:hAnsi="黑体" w:eastAsia="黑体" w:cs="黑体"/>
          <w:b/>
          <w:bCs/>
          <w:kern w:val="0"/>
          <w:sz w:val="44"/>
          <w:szCs w:val="44"/>
          <w:lang w:val="en-US" w:eastAsia="zh-CN"/>
        </w:rPr>
        <w:t xml:space="preserve"> </w:t>
      </w:r>
    </w:p>
    <w:p w14:paraId="4E288DF2">
      <w:pPr>
        <w:autoSpaceDE w:val="0"/>
        <w:autoSpaceDN w:val="0"/>
        <w:adjustRightInd w:val="0"/>
        <w:jc w:val="center"/>
        <w:rPr>
          <w:rFonts w:ascii="黑体" w:hAnsi="黑体" w:eastAsia="黑体" w:cs="黑体"/>
          <w:b/>
          <w:bCs/>
          <w:kern w:val="0"/>
          <w:sz w:val="44"/>
          <w:szCs w:val="44"/>
          <w:lang w:val="zh-CN"/>
        </w:rPr>
      </w:pPr>
      <w:r>
        <w:rPr>
          <w:rFonts w:hint="eastAsia" w:ascii="黑体" w:hAnsi="黑体" w:eastAsia="黑体" w:cs="黑体"/>
          <w:b/>
          <w:bCs/>
          <w:kern w:val="0"/>
          <w:sz w:val="44"/>
          <w:szCs w:val="44"/>
          <w:lang w:val="zh-CN"/>
        </w:rPr>
        <w:t>竞买须知</w:t>
      </w:r>
    </w:p>
    <w:p w14:paraId="135C648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中国石化集团中原石油勘探局有限公司生产物资调剂中心（以下简称</w:t>
      </w:r>
      <w:r>
        <w:rPr>
          <w:rFonts w:ascii="宋体" w:hAnsi="宋体" w:cs="Calibri"/>
          <w:sz w:val="32"/>
          <w:szCs w:val="32"/>
        </w:rPr>
        <w:t>“</w:t>
      </w:r>
      <w:r>
        <w:rPr>
          <w:rFonts w:hint="eastAsia" w:ascii="宋体" w:hAnsi="宋体" w:cs="Calibri"/>
          <w:sz w:val="32"/>
          <w:szCs w:val="32"/>
        </w:rPr>
        <w:t>生产物资调剂中心</w:t>
      </w:r>
      <w:r>
        <w:rPr>
          <w:rFonts w:ascii="宋体" w:hAnsi="宋体" w:cs="Calibri"/>
          <w:sz w:val="32"/>
          <w:szCs w:val="32"/>
        </w:rPr>
        <w:t>”</w:t>
      </w:r>
      <w:r>
        <w:rPr>
          <w:rFonts w:hint="eastAsia" w:ascii="宋体" w:hAnsi="宋体" w:cs="Calibri"/>
          <w:sz w:val="32"/>
          <w:szCs w:val="32"/>
        </w:rPr>
        <w:t>）拟对</w:t>
      </w:r>
      <w:r>
        <w:rPr>
          <w:rFonts w:hint="eastAsia" w:ascii="宋体" w:hAnsi="宋体" w:cs="Calibri"/>
          <w:sz w:val="32"/>
          <w:szCs w:val="32"/>
          <w:u w:val="single"/>
        </w:rPr>
        <w:t>中石化</w:t>
      </w:r>
      <w:r>
        <w:rPr>
          <w:rFonts w:hint="eastAsia" w:ascii="宋体" w:hAnsi="宋体" w:cs="Calibri"/>
          <w:sz w:val="32"/>
          <w:szCs w:val="32"/>
          <w:u w:val="single"/>
          <w:lang w:eastAsia="zh-CN"/>
        </w:rPr>
        <w:t>中原油田采油气工程服务中心</w:t>
      </w:r>
      <w:r>
        <w:rPr>
          <w:rFonts w:hint="eastAsia" w:ascii="宋体" w:hAnsi="宋体" w:cs="Calibri"/>
          <w:sz w:val="32"/>
          <w:szCs w:val="32"/>
          <w:u w:val="single"/>
        </w:rPr>
        <w:t>废旧物资（简称“</w:t>
      </w:r>
      <w:r>
        <w:rPr>
          <w:rFonts w:hint="eastAsia" w:ascii="宋体" w:hAnsi="宋体" w:cs="Calibri"/>
          <w:sz w:val="32"/>
          <w:szCs w:val="32"/>
          <w:u w:val="single"/>
          <w:lang w:val="en-US" w:eastAsia="zh-CN"/>
        </w:rPr>
        <w:t>采油气工程服务中心</w:t>
      </w:r>
      <w:r>
        <w:rPr>
          <w:rFonts w:hint="eastAsia" w:ascii="宋体" w:hAnsi="宋体" w:cs="Calibri"/>
          <w:sz w:val="32"/>
          <w:szCs w:val="32"/>
          <w:u w:val="single"/>
        </w:rPr>
        <w:t>废旧物资”）</w:t>
      </w:r>
      <w:r>
        <w:rPr>
          <w:rFonts w:hint="eastAsia" w:ascii="宋体" w:hAnsi="宋体" w:cs="Calibri"/>
          <w:sz w:val="32"/>
          <w:szCs w:val="32"/>
        </w:rPr>
        <w:t>以网络竞买方式出售。为规范在竞买平台进行的网络竞买行为、维护网络竞买秩序，保护参与网络竞买的各方当事人以及平台运营方的合法权益，特根据易派客废旧物资处置专区《竞买须知》及国家相关法律、法规的规定，制定本次网络竞买活动《竞买须知》。</w:t>
      </w:r>
    </w:p>
    <w:p w14:paraId="44FA2366">
      <w:pPr>
        <w:autoSpaceDE w:val="0"/>
        <w:autoSpaceDN w:val="0"/>
        <w:adjustRightInd w:val="0"/>
        <w:spacing w:line="360" w:lineRule="auto"/>
        <w:ind w:firstLine="569"/>
        <w:jc w:val="left"/>
        <w:rPr>
          <w:rFonts w:ascii="宋体" w:hAnsi="宋体" w:cs="Calibri"/>
          <w:sz w:val="32"/>
          <w:szCs w:val="32"/>
        </w:rPr>
      </w:pPr>
      <w:r>
        <w:rPr>
          <w:rFonts w:hint="eastAsia" w:ascii="宋体" w:hAnsi="宋体" w:cs="Calibri"/>
          <w:sz w:val="32"/>
          <w:szCs w:val="32"/>
        </w:rPr>
        <w:t>第一部分</w:t>
      </w:r>
      <w:r>
        <w:rPr>
          <w:rFonts w:ascii="宋体" w:hAnsi="宋体" w:cs="Calibri"/>
          <w:sz w:val="32"/>
          <w:szCs w:val="32"/>
        </w:rPr>
        <w:t xml:space="preserve"> </w:t>
      </w:r>
      <w:r>
        <w:rPr>
          <w:rFonts w:hint="eastAsia" w:ascii="宋体" w:hAnsi="宋体" w:cs="Calibri"/>
          <w:sz w:val="32"/>
          <w:szCs w:val="32"/>
        </w:rPr>
        <w:t>处置物概况及竞价条件</w:t>
      </w:r>
    </w:p>
    <w:p w14:paraId="14A975C8">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1、处置物概况</w:t>
      </w:r>
    </w:p>
    <w:p w14:paraId="5B9F9B4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附表一</w:t>
      </w:r>
    </w:p>
    <w:tbl>
      <w:tblPr>
        <w:tblStyle w:val="5"/>
        <w:tblW w:w="8643" w:type="dxa"/>
        <w:tblInd w:w="140" w:type="dxa"/>
        <w:tblLayout w:type="fixed"/>
        <w:tblCellMar>
          <w:top w:w="0" w:type="dxa"/>
          <w:left w:w="108" w:type="dxa"/>
          <w:bottom w:w="0" w:type="dxa"/>
          <w:right w:w="108" w:type="dxa"/>
        </w:tblCellMar>
      </w:tblPr>
      <w:tblGrid>
        <w:gridCol w:w="640"/>
        <w:gridCol w:w="2321"/>
        <w:gridCol w:w="885"/>
        <w:gridCol w:w="858"/>
        <w:gridCol w:w="1617"/>
        <w:gridCol w:w="2322"/>
      </w:tblGrid>
      <w:tr w14:paraId="6C1BD165">
        <w:tblPrEx>
          <w:tblCellMar>
            <w:top w:w="0" w:type="dxa"/>
            <w:left w:w="108" w:type="dxa"/>
            <w:bottom w:w="0" w:type="dxa"/>
            <w:right w:w="108" w:type="dxa"/>
          </w:tblCellMar>
        </w:tblPrEx>
        <w:trPr>
          <w:trHeight w:val="270" w:hRule="atLeast"/>
        </w:trPr>
        <w:tc>
          <w:tcPr>
            <w:tcW w:w="640" w:type="dxa"/>
            <w:tcBorders>
              <w:top w:val="single" w:color="auto" w:sz="4" w:space="0"/>
              <w:left w:val="single" w:color="auto" w:sz="4" w:space="0"/>
              <w:bottom w:val="single" w:color="auto" w:sz="4" w:space="0"/>
              <w:right w:val="single" w:color="auto" w:sz="4" w:space="0"/>
            </w:tcBorders>
            <w:vAlign w:val="center"/>
          </w:tcPr>
          <w:p w14:paraId="2139789F">
            <w:pPr>
              <w:widowControl/>
              <w:jc w:val="center"/>
              <w:rPr>
                <w:rFonts w:ascii="宋体" w:hAnsi="宋体" w:cs="Calibri"/>
                <w:szCs w:val="21"/>
              </w:rPr>
            </w:pPr>
            <w:r>
              <w:rPr>
                <w:rFonts w:hint="eastAsia" w:ascii="宋体" w:hAnsi="宋体" w:cs="Calibri"/>
                <w:szCs w:val="21"/>
              </w:rPr>
              <w:t>序号</w:t>
            </w:r>
          </w:p>
        </w:tc>
        <w:tc>
          <w:tcPr>
            <w:tcW w:w="2321" w:type="dxa"/>
            <w:tcBorders>
              <w:top w:val="single" w:color="auto" w:sz="4" w:space="0"/>
              <w:left w:val="single" w:color="auto" w:sz="4" w:space="0"/>
              <w:bottom w:val="single" w:color="auto" w:sz="4" w:space="0"/>
              <w:right w:val="single" w:color="auto" w:sz="4" w:space="0"/>
            </w:tcBorders>
            <w:vAlign w:val="center"/>
          </w:tcPr>
          <w:p w14:paraId="22ED1D29">
            <w:pPr>
              <w:widowControl/>
              <w:jc w:val="center"/>
              <w:rPr>
                <w:rFonts w:ascii="宋体" w:hAnsi="宋体" w:cs="Calibri"/>
                <w:szCs w:val="21"/>
              </w:rPr>
            </w:pPr>
            <w:r>
              <w:rPr>
                <w:rFonts w:hint="eastAsia" w:ascii="宋体" w:hAnsi="宋体" w:cs="Calibri"/>
                <w:szCs w:val="21"/>
              </w:rPr>
              <w:t>处置物名称</w:t>
            </w:r>
          </w:p>
        </w:tc>
        <w:tc>
          <w:tcPr>
            <w:tcW w:w="885" w:type="dxa"/>
            <w:tcBorders>
              <w:top w:val="single" w:color="auto" w:sz="4" w:space="0"/>
              <w:left w:val="nil"/>
              <w:bottom w:val="single" w:color="auto" w:sz="4" w:space="0"/>
              <w:right w:val="single" w:color="auto" w:sz="4" w:space="0"/>
            </w:tcBorders>
            <w:vAlign w:val="center"/>
          </w:tcPr>
          <w:p w14:paraId="788F45B3">
            <w:pPr>
              <w:widowControl/>
              <w:jc w:val="center"/>
              <w:rPr>
                <w:rFonts w:ascii="宋体" w:hAnsi="宋体" w:cs="Calibri"/>
                <w:szCs w:val="21"/>
              </w:rPr>
            </w:pPr>
            <w:r>
              <w:rPr>
                <w:rFonts w:hint="eastAsia" w:ascii="宋体" w:hAnsi="宋体" w:cs="Calibri"/>
                <w:szCs w:val="21"/>
                <w:lang w:eastAsia="zh-CN"/>
              </w:rPr>
              <w:t>预估</w:t>
            </w:r>
            <w:r>
              <w:rPr>
                <w:rFonts w:hint="eastAsia" w:ascii="宋体" w:hAnsi="宋体" w:cs="Calibri"/>
                <w:szCs w:val="21"/>
                <w:lang w:val="en-US" w:eastAsia="zh-CN"/>
              </w:rPr>
              <w:t xml:space="preserve"> </w:t>
            </w:r>
            <w:r>
              <w:rPr>
                <w:rFonts w:hint="eastAsia" w:ascii="宋体" w:hAnsi="宋体" w:cs="Calibri"/>
                <w:szCs w:val="21"/>
                <w:lang w:eastAsia="zh-CN"/>
              </w:rPr>
              <w:t>重量</w:t>
            </w:r>
          </w:p>
        </w:tc>
        <w:tc>
          <w:tcPr>
            <w:tcW w:w="858" w:type="dxa"/>
            <w:tcBorders>
              <w:top w:val="single" w:color="auto" w:sz="4" w:space="0"/>
              <w:left w:val="single" w:color="auto" w:sz="4" w:space="0"/>
              <w:bottom w:val="single" w:color="auto" w:sz="4" w:space="0"/>
              <w:right w:val="single" w:color="auto" w:sz="4" w:space="0"/>
            </w:tcBorders>
            <w:vAlign w:val="center"/>
          </w:tcPr>
          <w:p w14:paraId="5F5E57DF">
            <w:pPr>
              <w:widowControl/>
              <w:jc w:val="center"/>
              <w:rPr>
                <w:rFonts w:ascii="宋体" w:hAnsi="宋体" w:cs="Calibri"/>
                <w:szCs w:val="21"/>
              </w:rPr>
            </w:pPr>
            <w:r>
              <w:rPr>
                <w:rFonts w:hint="eastAsia" w:ascii="宋体" w:hAnsi="宋体" w:cs="Calibri"/>
                <w:szCs w:val="21"/>
              </w:rPr>
              <w:t>单位</w:t>
            </w:r>
          </w:p>
        </w:tc>
        <w:tc>
          <w:tcPr>
            <w:tcW w:w="1617" w:type="dxa"/>
            <w:tcBorders>
              <w:top w:val="single" w:color="auto" w:sz="4" w:space="0"/>
              <w:left w:val="single" w:color="auto" w:sz="4" w:space="0"/>
              <w:bottom w:val="single" w:color="auto" w:sz="4" w:space="0"/>
              <w:right w:val="single" w:color="auto" w:sz="4" w:space="0"/>
            </w:tcBorders>
            <w:vAlign w:val="center"/>
          </w:tcPr>
          <w:p w14:paraId="37C487FE">
            <w:pPr>
              <w:widowControl/>
              <w:jc w:val="center"/>
              <w:rPr>
                <w:rFonts w:ascii="宋体" w:hAnsi="宋体" w:cs="Calibri"/>
                <w:b/>
                <w:bCs/>
                <w:color w:val="FF0000"/>
                <w:szCs w:val="21"/>
                <w:highlight w:val="yellow"/>
              </w:rPr>
            </w:pPr>
            <w:r>
              <w:rPr>
                <w:rFonts w:hint="eastAsia" w:ascii="宋体" w:hAnsi="宋体" w:cs="Calibri"/>
                <w:b/>
                <w:bCs/>
                <w:color w:val="FF0000"/>
                <w:szCs w:val="21"/>
                <w:highlight w:val="yellow"/>
              </w:rPr>
              <w:t>销售方式及计重方式</w:t>
            </w:r>
          </w:p>
        </w:tc>
        <w:tc>
          <w:tcPr>
            <w:tcW w:w="2322" w:type="dxa"/>
            <w:tcBorders>
              <w:top w:val="single" w:color="auto" w:sz="4" w:space="0"/>
              <w:left w:val="single" w:color="auto" w:sz="4" w:space="0"/>
              <w:bottom w:val="single" w:color="auto" w:sz="4" w:space="0"/>
              <w:right w:val="single" w:color="auto" w:sz="4" w:space="0"/>
            </w:tcBorders>
            <w:vAlign w:val="center"/>
          </w:tcPr>
          <w:p w14:paraId="2E59ADC2">
            <w:pPr>
              <w:widowControl/>
              <w:jc w:val="center"/>
              <w:rPr>
                <w:rFonts w:ascii="宋体" w:hAnsi="宋体" w:cs="Calibri"/>
                <w:szCs w:val="21"/>
              </w:rPr>
            </w:pPr>
            <w:r>
              <w:rPr>
                <w:rFonts w:hint="eastAsia" w:ascii="宋体" w:hAnsi="宋体" w:cs="Calibri"/>
                <w:szCs w:val="21"/>
              </w:rPr>
              <w:t>存放地点</w:t>
            </w:r>
          </w:p>
        </w:tc>
      </w:tr>
      <w:tr w14:paraId="6D61F11A">
        <w:tblPrEx>
          <w:tblCellMar>
            <w:top w:w="0" w:type="dxa"/>
            <w:left w:w="108" w:type="dxa"/>
            <w:bottom w:w="0" w:type="dxa"/>
            <w:right w:w="108" w:type="dxa"/>
          </w:tblCellMar>
        </w:tblPrEx>
        <w:trPr>
          <w:trHeight w:val="816" w:hRule="atLeast"/>
        </w:trPr>
        <w:tc>
          <w:tcPr>
            <w:tcW w:w="640" w:type="dxa"/>
            <w:tcBorders>
              <w:top w:val="single" w:color="auto" w:sz="4" w:space="0"/>
              <w:left w:val="single" w:color="auto" w:sz="4" w:space="0"/>
              <w:bottom w:val="single" w:color="auto" w:sz="4" w:space="0"/>
              <w:right w:val="single" w:color="auto" w:sz="4" w:space="0"/>
            </w:tcBorders>
            <w:vAlign w:val="center"/>
          </w:tcPr>
          <w:p w14:paraId="53B25250">
            <w:pPr>
              <w:widowControl/>
              <w:jc w:val="center"/>
              <w:rPr>
                <w:rFonts w:hint="default" w:ascii="宋体" w:hAnsi="宋体" w:cs="Calibri"/>
                <w:sz w:val="30"/>
                <w:szCs w:val="30"/>
                <w:lang w:val="en-US" w:eastAsia="zh-CN"/>
              </w:rPr>
            </w:pPr>
            <w:r>
              <w:rPr>
                <w:rFonts w:hint="eastAsia" w:ascii="宋体" w:hAnsi="宋体" w:cs="Calibri"/>
                <w:sz w:val="30"/>
                <w:szCs w:val="30"/>
                <w:lang w:val="en-US" w:eastAsia="zh-CN"/>
              </w:rPr>
              <w:t>1</w:t>
            </w:r>
          </w:p>
        </w:tc>
        <w:tc>
          <w:tcPr>
            <w:tcW w:w="2321" w:type="dxa"/>
            <w:tcBorders>
              <w:top w:val="single" w:color="auto" w:sz="4" w:space="0"/>
              <w:left w:val="single" w:color="auto" w:sz="4" w:space="0"/>
              <w:bottom w:val="single" w:color="auto" w:sz="4" w:space="0"/>
              <w:right w:val="single" w:color="auto" w:sz="4" w:space="0"/>
            </w:tcBorders>
            <w:vAlign w:val="center"/>
          </w:tcPr>
          <w:p w14:paraId="395B7FEB">
            <w:pPr>
              <w:jc w:val="center"/>
              <w:rPr>
                <w:rFonts w:hint="default" w:ascii="宋体" w:hAnsi="宋体" w:eastAsia="宋体" w:cs="Calibri"/>
                <w:szCs w:val="32"/>
                <w:lang w:val="en-US" w:eastAsia="zh-CN"/>
              </w:rPr>
            </w:pPr>
            <w:r>
              <w:rPr>
                <w:rFonts w:hint="eastAsia" w:ascii="宋体" w:hAnsi="宋体" w:cs="Calibri"/>
                <w:szCs w:val="32"/>
                <w:lang w:val="en-US" w:eastAsia="zh-CN"/>
              </w:rPr>
              <w:t>报废叶导轮</w:t>
            </w:r>
          </w:p>
        </w:tc>
        <w:tc>
          <w:tcPr>
            <w:tcW w:w="885" w:type="dxa"/>
            <w:tcBorders>
              <w:top w:val="single" w:color="auto" w:sz="4" w:space="0"/>
              <w:left w:val="nil"/>
              <w:bottom w:val="single" w:color="auto" w:sz="4" w:space="0"/>
              <w:right w:val="single" w:color="auto" w:sz="4" w:space="0"/>
            </w:tcBorders>
            <w:vAlign w:val="center"/>
          </w:tcPr>
          <w:p w14:paraId="21CAF0A6">
            <w:pPr>
              <w:widowControl/>
              <w:jc w:val="center"/>
              <w:rPr>
                <w:rFonts w:hint="eastAsia" w:ascii="宋体" w:hAnsi="宋体" w:cs="Calibri"/>
                <w:szCs w:val="21"/>
                <w:lang w:val="en-US" w:eastAsia="zh-CN"/>
              </w:rPr>
            </w:pPr>
            <w:r>
              <w:rPr>
                <w:rFonts w:hint="eastAsia" w:ascii="宋体" w:hAnsi="宋体" w:cs="Calibri"/>
                <w:szCs w:val="21"/>
                <w:lang w:val="en-US" w:eastAsia="zh-CN"/>
              </w:rPr>
              <w:t>批</w:t>
            </w:r>
          </w:p>
        </w:tc>
        <w:tc>
          <w:tcPr>
            <w:tcW w:w="858" w:type="dxa"/>
            <w:tcBorders>
              <w:top w:val="single" w:color="auto" w:sz="4" w:space="0"/>
              <w:left w:val="single" w:color="auto" w:sz="4" w:space="0"/>
              <w:bottom w:val="single" w:color="auto" w:sz="4" w:space="0"/>
              <w:right w:val="single" w:color="auto" w:sz="4" w:space="0"/>
            </w:tcBorders>
            <w:vAlign w:val="center"/>
          </w:tcPr>
          <w:p w14:paraId="008B385D">
            <w:pPr>
              <w:widowControl/>
              <w:jc w:val="center"/>
              <w:rPr>
                <w:rFonts w:hint="default" w:ascii="宋体" w:hAnsi="宋体" w:cs="Calibri"/>
                <w:szCs w:val="21"/>
                <w:lang w:val="en-US" w:eastAsia="zh-CN"/>
              </w:rPr>
            </w:pPr>
            <w:r>
              <w:rPr>
                <w:rFonts w:hint="eastAsia" w:ascii="宋体" w:hAnsi="宋体" w:cs="Calibri"/>
                <w:szCs w:val="21"/>
                <w:lang w:val="en-US" w:eastAsia="zh-CN"/>
              </w:rPr>
              <w:t>1</w:t>
            </w:r>
          </w:p>
        </w:tc>
        <w:tc>
          <w:tcPr>
            <w:tcW w:w="1617" w:type="dxa"/>
            <w:tcBorders>
              <w:top w:val="single" w:color="auto" w:sz="4" w:space="0"/>
              <w:left w:val="single" w:color="auto" w:sz="4" w:space="0"/>
              <w:bottom w:val="single" w:color="auto" w:sz="4" w:space="0"/>
              <w:right w:val="single" w:color="auto" w:sz="4" w:space="0"/>
            </w:tcBorders>
            <w:vAlign w:val="center"/>
          </w:tcPr>
          <w:p w14:paraId="147503D3">
            <w:pPr>
              <w:jc w:val="center"/>
              <w:rPr>
                <w:rFonts w:hint="eastAsia" w:ascii="宋体" w:hAnsi="宋体" w:cs="Calibri"/>
                <w:b/>
                <w:bCs/>
                <w:color w:val="FF0000"/>
                <w:sz w:val="24"/>
                <w:szCs w:val="24"/>
                <w:highlight w:val="yellow"/>
                <w:lang w:eastAsia="zh-CN"/>
              </w:rPr>
            </w:pPr>
            <w:r>
              <w:rPr>
                <w:rFonts w:hint="eastAsia" w:ascii="宋体" w:hAnsi="宋体" w:cs="Calibri"/>
                <w:b/>
                <w:bCs/>
                <w:color w:val="FF0000"/>
                <w:sz w:val="24"/>
                <w:szCs w:val="24"/>
                <w:highlight w:val="yellow"/>
                <w:lang w:eastAsia="zh-CN"/>
              </w:rPr>
              <w:t>打包销售</w:t>
            </w:r>
          </w:p>
        </w:tc>
        <w:tc>
          <w:tcPr>
            <w:tcW w:w="2322" w:type="dxa"/>
            <w:tcBorders>
              <w:top w:val="single" w:color="auto" w:sz="4" w:space="0"/>
              <w:left w:val="single" w:color="auto" w:sz="4" w:space="0"/>
              <w:bottom w:val="single" w:color="auto" w:sz="4" w:space="0"/>
              <w:right w:val="single" w:color="auto" w:sz="4" w:space="0"/>
            </w:tcBorders>
            <w:vAlign w:val="center"/>
          </w:tcPr>
          <w:p w14:paraId="680B8494">
            <w:pPr>
              <w:widowControl/>
              <w:jc w:val="center"/>
              <w:rPr>
                <w:rFonts w:hint="eastAsia" w:ascii="宋体" w:hAnsi="宋体" w:cs="Calibri"/>
                <w:szCs w:val="32"/>
                <w:lang w:val="en-US" w:eastAsia="zh-CN"/>
              </w:rPr>
            </w:pPr>
            <w:r>
              <w:rPr>
                <w:rFonts w:hint="eastAsia" w:ascii="宋体" w:hAnsi="宋体" w:cs="Calibri"/>
                <w:szCs w:val="32"/>
                <w:lang w:val="en-US" w:eastAsia="zh-CN"/>
              </w:rPr>
              <w:t>采油气工程服务中心</w:t>
            </w:r>
          </w:p>
        </w:tc>
      </w:tr>
    </w:tbl>
    <w:p w14:paraId="20584F14">
      <w:pPr>
        <w:autoSpaceDE w:val="0"/>
        <w:autoSpaceDN w:val="0"/>
        <w:adjustRightInd w:val="0"/>
        <w:spacing w:line="360" w:lineRule="auto"/>
        <w:jc w:val="left"/>
        <w:rPr>
          <w:rFonts w:hint="eastAsia" w:ascii="宋体" w:hAnsi="宋体" w:cs="Calibri"/>
          <w:sz w:val="32"/>
          <w:szCs w:val="32"/>
        </w:rPr>
      </w:pPr>
      <w:r>
        <w:rPr>
          <w:rFonts w:hint="eastAsia" w:ascii="宋体" w:hAnsi="宋体" w:cs="Calibri"/>
          <w:sz w:val="32"/>
          <w:szCs w:val="32"/>
        </w:rPr>
        <w:t>说明：1、图片仅供参考，以现场实物为准</w:t>
      </w:r>
      <w:r>
        <w:rPr>
          <w:rFonts w:hint="eastAsia" w:ascii="宋体" w:hAnsi="宋体" w:cs="Calibri"/>
          <w:sz w:val="32"/>
          <w:szCs w:val="32"/>
          <w:lang w:eastAsia="zh-CN"/>
        </w:rPr>
        <w:t>。</w:t>
      </w:r>
    </w:p>
    <w:p w14:paraId="38F905CA">
      <w:pPr>
        <w:numPr>
          <w:ilvl w:val="0"/>
          <w:numId w:val="0"/>
        </w:numPr>
        <w:autoSpaceDE w:val="0"/>
        <w:autoSpaceDN w:val="0"/>
        <w:adjustRightInd w:val="0"/>
        <w:spacing w:line="360" w:lineRule="auto"/>
        <w:jc w:val="left"/>
        <w:rPr>
          <w:rFonts w:hint="default" w:ascii="宋体" w:hAnsi="宋体" w:eastAsia="宋体" w:cs="Calibri"/>
          <w:sz w:val="32"/>
          <w:szCs w:val="32"/>
          <w:lang w:val="en-US" w:eastAsia="zh-CN"/>
        </w:rPr>
      </w:pPr>
      <w:r>
        <w:rPr>
          <w:rFonts w:hint="eastAsia" w:ascii="宋体" w:hAnsi="宋体" w:cs="Calibri"/>
          <w:sz w:val="32"/>
          <w:szCs w:val="32"/>
          <w:lang w:val="en-US" w:eastAsia="zh-CN"/>
        </w:rPr>
        <w:t xml:space="preserve">         </w:t>
      </w:r>
      <w:r>
        <w:rPr>
          <w:rFonts w:hint="eastAsia" w:ascii="宋体" w:hAnsi="宋体" w:cs="Calibri"/>
          <w:sz w:val="32"/>
          <w:szCs w:val="32"/>
        </w:rPr>
        <w:t>看货联系人信息</w:t>
      </w:r>
      <w:r>
        <w:rPr>
          <w:rFonts w:hint="eastAsia" w:ascii="宋体" w:hAnsi="宋体" w:cs="Calibri"/>
          <w:sz w:val="32"/>
          <w:szCs w:val="32"/>
          <w:lang w:val="en-US" w:eastAsia="zh-CN"/>
        </w:rPr>
        <w:t>: 周先生13854060506</w:t>
      </w:r>
    </w:p>
    <w:p w14:paraId="575A55F7">
      <w:pPr>
        <w:autoSpaceDE w:val="0"/>
        <w:autoSpaceDN w:val="0"/>
        <w:adjustRightInd w:val="0"/>
        <w:spacing w:line="360" w:lineRule="auto"/>
        <w:jc w:val="left"/>
        <w:rPr>
          <w:rFonts w:hint="default" w:ascii="宋体" w:hAnsi="宋体" w:cs="Calibri"/>
          <w:sz w:val="32"/>
          <w:szCs w:val="32"/>
          <w:lang w:val="en-US" w:eastAsia="zh-CN"/>
        </w:rPr>
      </w:pPr>
      <w:r>
        <w:rPr>
          <w:rFonts w:hint="eastAsia" w:ascii="宋体" w:hAnsi="宋体" w:cs="Calibri"/>
          <w:sz w:val="32"/>
          <w:szCs w:val="32"/>
          <w:lang w:val="en-US" w:eastAsia="zh-CN"/>
        </w:rPr>
        <w:t xml:space="preserve">     2、购买商应按照现场人员要求在指定范围内拉运。</w:t>
      </w:r>
    </w:p>
    <w:p w14:paraId="03D1E064">
      <w:pPr>
        <w:autoSpaceDE w:val="0"/>
        <w:autoSpaceDN w:val="0"/>
        <w:adjustRightInd w:val="0"/>
        <w:spacing w:line="360" w:lineRule="auto"/>
        <w:jc w:val="left"/>
        <w:rPr>
          <w:rFonts w:ascii="宋体" w:hAnsi="宋体" w:cs="Calibri"/>
          <w:sz w:val="32"/>
          <w:szCs w:val="32"/>
        </w:rPr>
      </w:pPr>
    </w:p>
    <w:p w14:paraId="04F5F4AA">
      <w:pPr>
        <w:autoSpaceDE w:val="0"/>
        <w:autoSpaceDN w:val="0"/>
        <w:adjustRightInd w:val="0"/>
        <w:spacing w:line="360" w:lineRule="auto"/>
        <w:jc w:val="left"/>
        <w:rPr>
          <w:rFonts w:ascii="宋体" w:hAnsi="宋体" w:cs="Calibri"/>
          <w:sz w:val="32"/>
          <w:szCs w:val="32"/>
        </w:rPr>
      </w:pPr>
      <w:r>
        <w:rPr>
          <w:rFonts w:ascii="宋体" w:hAnsi="宋体" w:cs="Calibri"/>
          <w:sz w:val="32"/>
          <w:szCs w:val="32"/>
        </w:rPr>
        <w:t>2</w:t>
      </w:r>
      <w:r>
        <w:rPr>
          <w:rFonts w:hint="eastAsia" w:ascii="宋体" w:hAnsi="宋体" w:cs="Calibri"/>
          <w:sz w:val="32"/>
          <w:szCs w:val="32"/>
        </w:rPr>
        <w:t>、竞价条件</w:t>
      </w:r>
    </w:p>
    <w:p w14:paraId="25F2F2BA">
      <w:pPr>
        <w:autoSpaceDE w:val="0"/>
        <w:autoSpaceDN w:val="0"/>
        <w:adjustRightInd w:val="0"/>
        <w:spacing w:line="360" w:lineRule="auto"/>
        <w:ind w:firstLine="660"/>
        <w:jc w:val="left"/>
        <w:rPr>
          <w:rFonts w:ascii="宋体" w:hAnsi="宋体" w:cs="Calibri"/>
          <w:sz w:val="32"/>
          <w:szCs w:val="32"/>
        </w:rPr>
      </w:pPr>
      <w:r>
        <w:rPr>
          <w:rFonts w:hint="eastAsia" w:ascii="宋体" w:hAnsi="宋体" w:cs="Calibri"/>
          <w:sz w:val="32"/>
          <w:szCs w:val="32"/>
        </w:rPr>
        <w:t>附表二</w:t>
      </w:r>
    </w:p>
    <w:tbl>
      <w:tblPr>
        <w:tblStyle w:val="5"/>
        <w:tblW w:w="9322" w:type="dxa"/>
        <w:tblInd w:w="0" w:type="dxa"/>
        <w:tblLayout w:type="fixed"/>
        <w:tblCellMar>
          <w:top w:w="0" w:type="dxa"/>
          <w:left w:w="108" w:type="dxa"/>
          <w:bottom w:w="0" w:type="dxa"/>
          <w:right w:w="108" w:type="dxa"/>
        </w:tblCellMar>
      </w:tblPr>
      <w:tblGrid>
        <w:gridCol w:w="959"/>
        <w:gridCol w:w="2268"/>
        <w:gridCol w:w="6095"/>
      </w:tblGrid>
      <w:tr w14:paraId="76674B9B">
        <w:tblPrEx>
          <w:tblCellMar>
            <w:top w:w="0" w:type="dxa"/>
            <w:left w:w="108" w:type="dxa"/>
            <w:bottom w:w="0" w:type="dxa"/>
            <w:right w:w="108" w:type="dxa"/>
          </w:tblCellMar>
        </w:tblPrEx>
        <w:trPr>
          <w:trHeight w:val="537" w:hRule="atLeast"/>
        </w:trPr>
        <w:tc>
          <w:tcPr>
            <w:tcW w:w="959" w:type="dxa"/>
            <w:tcBorders>
              <w:top w:val="single" w:color="auto" w:sz="4" w:space="0"/>
              <w:left w:val="single" w:color="auto" w:sz="4" w:space="0"/>
              <w:bottom w:val="single" w:color="auto" w:sz="4" w:space="0"/>
              <w:right w:val="single" w:color="auto" w:sz="4" w:space="0"/>
            </w:tcBorders>
            <w:vAlign w:val="center"/>
          </w:tcPr>
          <w:p w14:paraId="738353E6">
            <w:pPr>
              <w:jc w:val="center"/>
              <w:rPr>
                <w:rFonts w:ascii="宋体" w:hAnsi="宋体" w:cs="Calibri"/>
                <w:sz w:val="28"/>
                <w:szCs w:val="28"/>
              </w:rPr>
            </w:pPr>
            <w:r>
              <w:rPr>
                <w:rFonts w:ascii="宋体" w:hAnsi="宋体" w:cs="Calibri"/>
                <w:sz w:val="28"/>
                <w:szCs w:val="28"/>
              </w:rPr>
              <w:t>序号</w:t>
            </w:r>
          </w:p>
        </w:tc>
        <w:tc>
          <w:tcPr>
            <w:tcW w:w="2268" w:type="dxa"/>
            <w:tcBorders>
              <w:top w:val="single" w:color="auto" w:sz="4" w:space="0"/>
              <w:left w:val="nil"/>
              <w:bottom w:val="single" w:color="auto" w:sz="4" w:space="0"/>
              <w:right w:val="single" w:color="auto" w:sz="4" w:space="0"/>
            </w:tcBorders>
            <w:vAlign w:val="center"/>
          </w:tcPr>
          <w:p w14:paraId="265B1520">
            <w:pPr>
              <w:jc w:val="center"/>
              <w:rPr>
                <w:rFonts w:ascii="宋体" w:hAnsi="宋体" w:cs="Calibri"/>
                <w:sz w:val="28"/>
                <w:szCs w:val="28"/>
              </w:rPr>
            </w:pPr>
            <w:r>
              <w:rPr>
                <w:rFonts w:ascii="宋体" w:hAnsi="宋体" w:cs="Calibri"/>
                <w:sz w:val="28"/>
                <w:szCs w:val="28"/>
              </w:rPr>
              <w:t>名  称</w:t>
            </w:r>
          </w:p>
        </w:tc>
        <w:tc>
          <w:tcPr>
            <w:tcW w:w="6095" w:type="dxa"/>
            <w:tcBorders>
              <w:top w:val="single" w:color="auto" w:sz="4" w:space="0"/>
              <w:left w:val="nil"/>
              <w:bottom w:val="single" w:color="auto" w:sz="4" w:space="0"/>
              <w:right w:val="single" w:color="auto" w:sz="4" w:space="0"/>
            </w:tcBorders>
            <w:vAlign w:val="center"/>
          </w:tcPr>
          <w:p w14:paraId="1F5B96B1">
            <w:pPr>
              <w:jc w:val="center"/>
              <w:rPr>
                <w:rFonts w:ascii="宋体" w:hAnsi="宋体" w:cs="Calibri"/>
                <w:sz w:val="28"/>
                <w:szCs w:val="28"/>
              </w:rPr>
            </w:pPr>
            <w:r>
              <w:rPr>
                <w:rFonts w:ascii="宋体" w:hAnsi="宋体" w:cs="Calibri"/>
                <w:sz w:val="28"/>
                <w:szCs w:val="28"/>
              </w:rPr>
              <w:t>说明与要求</w:t>
            </w:r>
          </w:p>
        </w:tc>
      </w:tr>
      <w:tr w14:paraId="07007889">
        <w:tblPrEx>
          <w:tblCellMar>
            <w:top w:w="0" w:type="dxa"/>
            <w:left w:w="108" w:type="dxa"/>
            <w:bottom w:w="0" w:type="dxa"/>
            <w:right w:w="108" w:type="dxa"/>
          </w:tblCellMar>
        </w:tblPrEx>
        <w:trPr>
          <w:trHeight w:val="548" w:hRule="atLeast"/>
        </w:trPr>
        <w:tc>
          <w:tcPr>
            <w:tcW w:w="959" w:type="dxa"/>
            <w:tcBorders>
              <w:top w:val="single" w:color="auto" w:sz="4" w:space="0"/>
              <w:left w:val="single" w:color="auto" w:sz="4" w:space="0"/>
              <w:bottom w:val="single" w:color="auto" w:sz="4" w:space="0"/>
              <w:right w:val="single" w:color="auto" w:sz="4" w:space="0"/>
            </w:tcBorders>
            <w:vAlign w:val="center"/>
          </w:tcPr>
          <w:p w14:paraId="5D02A173">
            <w:pPr>
              <w:jc w:val="center"/>
              <w:rPr>
                <w:rFonts w:ascii="宋体" w:hAnsi="宋体" w:cs="Calibri"/>
                <w:sz w:val="28"/>
                <w:szCs w:val="28"/>
              </w:rPr>
            </w:pPr>
            <w:r>
              <w:rPr>
                <w:rFonts w:ascii="宋体" w:hAnsi="宋体" w:cs="Calibri"/>
                <w:sz w:val="28"/>
                <w:szCs w:val="28"/>
              </w:rPr>
              <w:t>1</w:t>
            </w:r>
          </w:p>
        </w:tc>
        <w:tc>
          <w:tcPr>
            <w:tcW w:w="2268" w:type="dxa"/>
            <w:tcBorders>
              <w:top w:val="single" w:color="auto" w:sz="4" w:space="0"/>
              <w:left w:val="nil"/>
              <w:bottom w:val="single" w:color="auto" w:sz="4" w:space="0"/>
              <w:right w:val="single" w:color="auto" w:sz="4" w:space="0"/>
            </w:tcBorders>
            <w:vAlign w:val="center"/>
          </w:tcPr>
          <w:p w14:paraId="4779873B">
            <w:pPr>
              <w:jc w:val="center"/>
              <w:rPr>
                <w:rFonts w:ascii="宋体" w:hAnsi="宋体" w:cs="Calibri"/>
                <w:sz w:val="28"/>
                <w:szCs w:val="28"/>
              </w:rPr>
            </w:pPr>
            <w:r>
              <w:rPr>
                <w:rFonts w:hint="eastAsia" w:ascii="宋体" w:hAnsi="宋体" w:cs="Calibri"/>
                <w:sz w:val="28"/>
                <w:szCs w:val="28"/>
              </w:rPr>
              <w:t>处置</w:t>
            </w:r>
            <w:r>
              <w:rPr>
                <w:rFonts w:ascii="宋体" w:hAnsi="宋体" w:cs="Calibri"/>
                <w:sz w:val="28"/>
                <w:szCs w:val="28"/>
              </w:rPr>
              <w:t>物名称</w:t>
            </w:r>
          </w:p>
        </w:tc>
        <w:tc>
          <w:tcPr>
            <w:tcW w:w="6095" w:type="dxa"/>
            <w:tcBorders>
              <w:top w:val="single" w:color="auto" w:sz="4" w:space="0"/>
              <w:left w:val="nil"/>
              <w:bottom w:val="single" w:color="auto" w:sz="4" w:space="0"/>
              <w:right w:val="single" w:color="auto" w:sz="4" w:space="0"/>
            </w:tcBorders>
            <w:shd w:val="clear" w:color="auto" w:fill="auto"/>
            <w:vAlign w:val="center"/>
          </w:tcPr>
          <w:p w14:paraId="171130F9">
            <w:pPr>
              <w:jc w:val="left"/>
              <w:rPr>
                <w:rFonts w:hint="default" w:ascii="宋体" w:hAnsi="宋体" w:eastAsia="宋体" w:cs="Calibri"/>
                <w:sz w:val="28"/>
                <w:szCs w:val="28"/>
                <w:lang w:val="en-US" w:eastAsia="zh-CN"/>
              </w:rPr>
            </w:pPr>
            <w:r>
              <w:rPr>
                <w:rFonts w:hint="eastAsia" w:ascii="宋体" w:hAnsi="宋体" w:cs="Calibri"/>
                <w:sz w:val="28"/>
                <w:szCs w:val="28"/>
                <w:lang w:eastAsia="zh-CN"/>
              </w:rPr>
              <w:t>报废叶导轮</w:t>
            </w:r>
            <w:bookmarkStart w:id="0" w:name="_GoBack"/>
            <w:bookmarkEnd w:id="0"/>
          </w:p>
        </w:tc>
      </w:tr>
      <w:tr w14:paraId="15EBE81D">
        <w:tblPrEx>
          <w:tblCellMar>
            <w:top w:w="0" w:type="dxa"/>
            <w:left w:w="108" w:type="dxa"/>
            <w:bottom w:w="0" w:type="dxa"/>
            <w:right w:w="108" w:type="dxa"/>
          </w:tblCellMar>
        </w:tblPrEx>
        <w:trPr>
          <w:trHeight w:val="542" w:hRule="atLeast"/>
        </w:trPr>
        <w:tc>
          <w:tcPr>
            <w:tcW w:w="959" w:type="dxa"/>
            <w:tcBorders>
              <w:top w:val="single" w:color="auto" w:sz="4" w:space="0"/>
              <w:left w:val="single" w:color="auto" w:sz="4" w:space="0"/>
              <w:bottom w:val="single" w:color="auto" w:sz="4" w:space="0"/>
              <w:right w:val="single" w:color="auto" w:sz="4" w:space="0"/>
            </w:tcBorders>
            <w:vAlign w:val="center"/>
          </w:tcPr>
          <w:p w14:paraId="5742C728">
            <w:pPr>
              <w:jc w:val="center"/>
              <w:rPr>
                <w:rFonts w:ascii="宋体" w:hAnsi="宋体" w:cs="Calibri"/>
                <w:sz w:val="28"/>
                <w:szCs w:val="28"/>
              </w:rPr>
            </w:pPr>
            <w:r>
              <w:rPr>
                <w:rFonts w:ascii="宋体" w:hAnsi="宋体" w:cs="Calibri"/>
                <w:sz w:val="28"/>
                <w:szCs w:val="28"/>
              </w:rPr>
              <w:t>2</w:t>
            </w:r>
          </w:p>
        </w:tc>
        <w:tc>
          <w:tcPr>
            <w:tcW w:w="2268" w:type="dxa"/>
            <w:tcBorders>
              <w:top w:val="single" w:color="auto" w:sz="4" w:space="0"/>
              <w:left w:val="nil"/>
              <w:bottom w:val="single" w:color="auto" w:sz="4" w:space="0"/>
              <w:right w:val="single" w:color="auto" w:sz="4" w:space="0"/>
            </w:tcBorders>
            <w:vAlign w:val="center"/>
          </w:tcPr>
          <w:p w14:paraId="4C1832BE">
            <w:pPr>
              <w:jc w:val="center"/>
              <w:rPr>
                <w:rFonts w:ascii="宋体" w:hAnsi="宋体" w:cs="Calibri"/>
                <w:sz w:val="28"/>
                <w:szCs w:val="28"/>
              </w:rPr>
            </w:pPr>
            <w:r>
              <w:rPr>
                <w:rFonts w:hint="eastAsia" w:ascii="宋体" w:hAnsi="宋体" w:cs="Calibri"/>
                <w:sz w:val="28"/>
                <w:szCs w:val="28"/>
              </w:rPr>
              <w:t>竞买</w:t>
            </w:r>
            <w:r>
              <w:rPr>
                <w:rFonts w:ascii="宋体" w:hAnsi="宋体" w:cs="Calibri"/>
                <w:sz w:val="28"/>
                <w:szCs w:val="28"/>
              </w:rPr>
              <w:t>人资格要求</w:t>
            </w:r>
          </w:p>
        </w:tc>
        <w:tc>
          <w:tcPr>
            <w:tcW w:w="6095" w:type="dxa"/>
            <w:tcBorders>
              <w:top w:val="single" w:color="auto" w:sz="4" w:space="0"/>
              <w:left w:val="nil"/>
              <w:bottom w:val="single" w:color="auto" w:sz="4" w:space="0"/>
              <w:right w:val="single" w:color="auto" w:sz="4" w:space="0"/>
            </w:tcBorders>
            <w:vAlign w:val="center"/>
          </w:tcPr>
          <w:p w14:paraId="4E677FB8">
            <w:pPr>
              <w:jc w:val="left"/>
              <w:rPr>
                <w:rFonts w:ascii="宋体" w:hAnsi="宋体" w:cs="Calibri"/>
                <w:sz w:val="28"/>
                <w:szCs w:val="28"/>
              </w:rPr>
            </w:pPr>
            <w:r>
              <w:rPr>
                <w:rFonts w:hint="eastAsia" w:ascii="宋体" w:hAnsi="宋体" w:cs="Calibri"/>
                <w:sz w:val="28"/>
                <w:szCs w:val="28"/>
              </w:rPr>
              <w:t>中华人民共和国境内企业营业执照等证照真实有效的加工、生产、购销、废旧金属回收及相关资质的法人，除法律、行政法规和招标文件另有规定外，均可自愿参加。</w:t>
            </w:r>
          </w:p>
        </w:tc>
      </w:tr>
      <w:tr w14:paraId="3C8DAF11">
        <w:tblPrEx>
          <w:tblCellMar>
            <w:top w:w="0" w:type="dxa"/>
            <w:left w:w="108" w:type="dxa"/>
            <w:bottom w:w="0" w:type="dxa"/>
            <w:right w:w="108" w:type="dxa"/>
          </w:tblCellMar>
        </w:tblPrEx>
        <w:trPr>
          <w:trHeight w:val="578" w:hRule="atLeast"/>
        </w:trPr>
        <w:tc>
          <w:tcPr>
            <w:tcW w:w="959" w:type="dxa"/>
            <w:tcBorders>
              <w:top w:val="single" w:color="auto" w:sz="4" w:space="0"/>
              <w:left w:val="single" w:color="auto" w:sz="4" w:space="0"/>
              <w:bottom w:val="single" w:color="auto" w:sz="4" w:space="0"/>
              <w:right w:val="single" w:color="auto" w:sz="4" w:space="0"/>
            </w:tcBorders>
            <w:vAlign w:val="center"/>
          </w:tcPr>
          <w:p w14:paraId="20F694FA">
            <w:pPr>
              <w:jc w:val="center"/>
              <w:rPr>
                <w:rFonts w:ascii="宋体" w:hAnsi="宋体" w:cs="Calibri"/>
                <w:sz w:val="28"/>
                <w:szCs w:val="28"/>
              </w:rPr>
            </w:pPr>
            <w:r>
              <w:rPr>
                <w:rFonts w:ascii="宋体" w:hAnsi="宋体" w:cs="Calibri"/>
                <w:sz w:val="28"/>
                <w:szCs w:val="28"/>
              </w:rPr>
              <w:t>3</w:t>
            </w:r>
          </w:p>
        </w:tc>
        <w:tc>
          <w:tcPr>
            <w:tcW w:w="2268" w:type="dxa"/>
            <w:tcBorders>
              <w:top w:val="single" w:color="auto" w:sz="4" w:space="0"/>
              <w:left w:val="nil"/>
              <w:bottom w:val="single" w:color="auto" w:sz="4" w:space="0"/>
              <w:right w:val="single" w:color="auto" w:sz="4" w:space="0"/>
            </w:tcBorders>
            <w:vAlign w:val="center"/>
          </w:tcPr>
          <w:p w14:paraId="0BD5B733">
            <w:pPr>
              <w:jc w:val="center"/>
              <w:rPr>
                <w:rFonts w:ascii="宋体" w:hAnsi="宋体" w:cs="Calibri"/>
                <w:sz w:val="28"/>
                <w:szCs w:val="28"/>
              </w:rPr>
            </w:pPr>
            <w:r>
              <w:rPr>
                <w:rFonts w:ascii="宋体" w:hAnsi="宋体" w:cs="Calibri"/>
                <w:sz w:val="28"/>
                <w:szCs w:val="28"/>
              </w:rPr>
              <w:t>资格审查方式</w:t>
            </w:r>
          </w:p>
        </w:tc>
        <w:tc>
          <w:tcPr>
            <w:tcW w:w="6095" w:type="dxa"/>
            <w:tcBorders>
              <w:top w:val="single" w:color="auto" w:sz="4" w:space="0"/>
              <w:left w:val="nil"/>
              <w:bottom w:val="single" w:color="auto" w:sz="4" w:space="0"/>
              <w:right w:val="single" w:color="auto" w:sz="4" w:space="0"/>
            </w:tcBorders>
            <w:vAlign w:val="center"/>
          </w:tcPr>
          <w:p w14:paraId="52FF4BC4">
            <w:pPr>
              <w:jc w:val="left"/>
              <w:rPr>
                <w:rFonts w:ascii="宋体" w:hAnsi="宋体" w:cs="Calibri"/>
                <w:sz w:val="28"/>
                <w:szCs w:val="28"/>
              </w:rPr>
            </w:pPr>
            <w:r>
              <w:rPr>
                <w:rFonts w:ascii="宋体" w:hAnsi="宋体" w:cs="Calibri"/>
                <w:sz w:val="28"/>
                <w:szCs w:val="28"/>
              </w:rPr>
              <w:t>资格</w:t>
            </w:r>
            <w:r>
              <w:rPr>
                <w:rFonts w:hint="eastAsia" w:ascii="宋体" w:hAnsi="宋体" w:cs="Calibri"/>
                <w:sz w:val="28"/>
                <w:szCs w:val="28"/>
              </w:rPr>
              <w:t>后</w:t>
            </w:r>
            <w:r>
              <w:rPr>
                <w:rFonts w:ascii="宋体" w:hAnsi="宋体" w:cs="Calibri"/>
                <w:sz w:val="28"/>
                <w:szCs w:val="28"/>
              </w:rPr>
              <w:t>审</w:t>
            </w:r>
          </w:p>
        </w:tc>
      </w:tr>
      <w:tr w14:paraId="3C0CB7F6">
        <w:tblPrEx>
          <w:tblCellMar>
            <w:top w:w="0" w:type="dxa"/>
            <w:left w:w="108" w:type="dxa"/>
            <w:bottom w:w="0" w:type="dxa"/>
            <w:right w:w="108" w:type="dxa"/>
          </w:tblCellMar>
        </w:tblPrEx>
        <w:trPr>
          <w:trHeight w:val="544" w:hRule="atLeast"/>
        </w:trPr>
        <w:tc>
          <w:tcPr>
            <w:tcW w:w="959" w:type="dxa"/>
            <w:tcBorders>
              <w:top w:val="single" w:color="auto" w:sz="4" w:space="0"/>
              <w:left w:val="single" w:color="auto" w:sz="4" w:space="0"/>
              <w:bottom w:val="single" w:color="auto" w:sz="4" w:space="0"/>
              <w:right w:val="single" w:color="auto" w:sz="4" w:space="0"/>
            </w:tcBorders>
            <w:vAlign w:val="center"/>
          </w:tcPr>
          <w:p w14:paraId="797C2AD8">
            <w:pPr>
              <w:jc w:val="center"/>
              <w:rPr>
                <w:rFonts w:ascii="宋体" w:hAnsi="宋体" w:cs="Calibri"/>
                <w:sz w:val="28"/>
                <w:szCs w:val="28"/>
              </w:rPr>
            </w:pPr>
            <w:r>
              <w:rPr>
                <w:rFonts w:ascii="宋体" w:hAnsi="宋体" w:cs="Calibri"/>
                <w:sz w:val="28"/>
                <w:szCs w:val="28"/>
              </w:rPr>
              <w:t>4</w:t>
            </w:r>
          </w:p>
        </w:tc>
        <w:tc>
          <w:tcPr>
            <w:tcW w:w="2268" w:type="dxa"/>
            <w:tcBorders>
              <w:top w:val="single" w:color="auto" w:sz="4" w:space="0"/>
              <w:left w:val="nil"/>
              <w:bottom w:val="single" w:color="auto" w:sz="4" w:space="0"/>
              <w:right w:val="single" w:color="auto" w:sz="4" w:space="0"/>
            </w:tcBorders>
            <w:vAlign w:val="center"/>
          </w:tcPr>
          <w:p w14:paraId="7A422E76">
            <w:pPr>
              <w:jc w:val="center"/>
              <w:rPr>
                <w:rFonts w:ascii="宋体" w:hAnsi="宋体" w:cs="Calibri"/>
                <w:sz w:val="28"/>
                <w:szCs w:val="28"/>
              </w:rPr>
            </w:pPr>
            <w:r>
              <w:rPr>
                <w:rFonts w:ascii="宋体" w:hAnsi="宋体" w:cs="Calibri"/>
                <w:sz w:val="28"/>
                <w:szCs w:val="28"/>
              </w:rPr>
              <w:t>现场查勘</w:t>
            </w:r>
          </w:p>
        </w:tc>
        <w:tc>
          <w:tcPr>
            <w:tcW w:w="6095" w:type="dxa"/>
            <w:tcBorders>
              <w:top w:val="single" w:color="auto" w:sz="4" w:space="0"/>
              <w:left w:val="nil"/>
              <w:bottom w:val="single" w:color="auto" w:sz="4" w:space="0"/>
              <w:right w:val="single" w:color="auto" w:sz="4" w:space="0"/>
            </w:tcBorders>
            <w:vAlign w:val="center"/>
          </w:tcPr>
          <w:p w14:paraId="5EB272DE">
            <w:pPr>
              <w:jc w:val="left"/>
              <w:rPr>
                <w:rFonts w:ascii="宋体" w:hAnsi="宋体" w:cs="Calibri"/>
                <w:sz w:val="28"/>
                <w:szCs w:val="28"/>
              </w:rPr>
            </w:pPr>
            <w:r>
              <w:rPr>
                <w:rFonts w:ascii="宋体" w:hAnsi="宋体" w:cs="Calibri"/>
                <w:sz w:val="28"/>
                <w:szCs w:val="28"/>
              </w:rPr>
              <w:t>自行看货</w:t>
            </w:r>
          </w:p>
        </w:tc>
      </w:tr>
      <w:tr w14:paraId="3BF2FFE3">
        <w:tblPrEx>
          <w:tblCellMar>
            <w:top w:w="0" w:type="dxa"/>
            <w:left w:w="108" w:type="dxa"/>
            <w:bottom w:w="0" w:type="dxa"/>
            <w:right w:w="108" w:type="dxa"/>
          </w:tblCellMar>
        </w:tblPrEx>
        <w:trPr>
          <w:trHeight w:val="552" w:hRule="atLeast"/>
        </w:trPr>
        <w:tc>
          <w:tcPr>
            <w:tcW w:w="959" w:type="dxa"/>
            <w:tcBorders>
              <w:top w:val="single" w:color="auto" w:sz="4" w:space="0"/>
              <w:left w:val="single" w:color="auto" w:sz="4" w:space="0"/>
              <w:bottom w:val="single" w:color="auto" w:sz="4" w:space="0"/>
              <w:right w:val="single" w:color="auto" w:sz="4" w:space="0"/>
            </w:tcBorders>
            <w:vAlign w:val="center"/>
          </w:tcPr>
          <w:p w14:paraId="4234555A">
            <w:pPr>
              <w:jc w:val="center"/>
              <w:rPr>
                <w:rFonts w:ascii="宋体" w:hAnsi="宋体" w:cs="Calibri"/>
                <w:sz w:val="28"/>
                <w:szCs w:val="28"/>
              </w:rPr>
            </w:pPr>
            <w:r>
              <w:rPr>
                <w:rFonts w:ascii="宋体" w:hAnsi="宋体" w:cs="Calibri"/>
                <w:sz w:val="28"/>
                <w:szCs w:val="28"/>
              </w:rPr>
              <w:t>5</w:t>
            </w:r>
          </w:p>
        </w:tc>
        <w:tc>
          <w:tcPr>
            <w:tcW w:w="2268" w:type="dxa"/>
            <w:tcBorders>
              <w:top w:val="single" w:color="auto" w:sz="4" w:space="0"/>
              <w:left w:val="nil"/>
              <w:bottom w:val="single" w:color="auto" w:sz="4" w:space="0"/>
              <w:right w:val="single" w:color="auto" w:sz="4" w:space="0"/>
            </w:tcBorders>
            <w:vAlign w:val="center"/>
          </w:tcPr>
          <w:p w14:paraId="17F903B3">
            <w:pPr>
              <w:jc w:val="center"/>
              <w:rPr>
                <w:rFonts w:ascii="宋体" w:hAnsi="宋体" w:cs="Calibri"/>
                <w:sz w:val="28"/>
                <w:szCs w:val="28"/>
              </w:rPr>
            </w:pPr>
            <w:r>
              <w:rPr>
                <w:rFonts w:ascii="宋体" w:hAnsi="宋体" w:cs="Calibri"/>
                <w:sz w:val="28"/>
                <w:szCs w:val="28"/>
              </w:rPr>
              <w:t>《成交确认书》</w:t>
            </w:r>
            <w:r>
              <w:rPr>
                <w:rFonts w:hint="eastAsia" w:ascii="宋体" w:hAnsi="宋体" w:cs="Calibri"/>
                <w:sz w:val="28"/>
                <w:szCs w:val="28"/>
              </w:rPr>
              <w:t>确认方式及期限</w:t>
            </w:r>
          </w:p>
        </w:tc>
        <w:tc>
          <w:tcPr>
            <w:tcW w:w="6095" w:type="dxa"/>
            <w:tcBorders>
              <w:top w:val="single" w:color="auto" w:sz="4" w:space="0"/>
              <w:left w:val="nil"/>
              <w:bottom w:val="single" w:color="auto" w:sz="4" w:space="0"/>
              <w:right w:val="single" w:color="auto" w:sz="4" w:space="0"/>
            </w:tcBorders>
            <w:vAlign w:val="center"/>
          </w:tcPr>
          <w:p w14:paraId="1DF4E625">
            <w:pPr>
              <w:jc w:val="left"/>
              <w:rPr>
                <w:rFonts w:ascii="宋体" w:hAnsi="宋体" w:cs="Calibri"/>
                <w:sz w:val="28"/>
                <w:szCs w:val="28"/>
              </w:rPr>
            </w:pPr>
            <w:r>
              <w:rPr>
                <w:rFonts w:hint="eastAsia" w:ascii="宋体" w:hAnsi="宋体" w:cs="Calibri"/>
                <w:sz w:val="28"/>
                <w:szCs w:val="28"/>
              </w:rPr>
              <w:t>竞买人</w:t>
            </w:r>
            <w:r>
              <w:rPr>
                <w:rFonts w:ascii="宋体" w:hAnsi="宋体" w:cs="Calibri"/>
                <w:sz w:val="28"/>
                <w:szCs w:val="28"/>
              </w:rPr>
              <w:t>48小时内</w:t>
            </w:r>
            <w:r>
              <w:rPr>
                <w:rFonts w:hint="eastAsia" w:ascii="宋体" w:hAnsi="宋体" w:cs="Calibri"/>
                <w:sz w:val="28"/>
                <w:szCs w:val="28"/>
              </w:rPr>
              <w:t>在</w:t>
            </w:r>
            <w:r>
              <w:rPr>
                <w:rFonts w:ascii="宋体" w:hAnsi="宋体" w:cs="Calibri"/>
                <w:sz w:val="28"/>
                <w:szCs w:val="28"/>
              </w:rPr>
              <w:t>平台点击确认按钮</w:t>
            </w:r>
            <w:r>
              <w:rPr>
                <w:rFonts w:hint="eastAsia" w:ascii="宋体" w:hAnsi="宋体" w:cs="Calibri"/>
                <w:sz w:val="28"/>
                <w:szCs w:val="28"/>
              </w:rPr>
              <w:t>。</w:t>
            </w:r>
          </w:p>
        </w:tc>
      </w:tr>
      <w:tr w14:paraId="7DB15832">
        <w:tblPrEx>
          <w:tblCellMar>
            <w:top w:w="0" w:type="dxa"/>
            <w:left w:w="108" w:type="dxa"/>
            <w:bottom w:w="0" w:type="dxa"/>
            <w:right w:w="108" w:type="dxa"/>
          </w:tblCellMar>
        </w:tblPrEx>
        <w:trPr>
          <w:trHeight w:val="560" w:hRule="atLeast"/>
        </w:trPr>
        <w:tc>
          <w:tcPr>
            <w:tcW w:w="959" w:type="dxa"/>
            <w:tcBorders>
              <w:top w:val="single" w:color="auto" w:sz="4" w:space="0"/>
              <w:left w:val="single" w:color="auto" w:sz="4" w:space="0"/>
              <w:bottom w:val="single" w:color="auto" w:sz="4" w:space="0"/>
              <w:right w:val="single" w:color="auto" w:sz="4" w:space="0"/>
            </w:tcBorders>
            <w:vAlign w:val="center"/>
          </w:tcPr>
          <w:p w14:paraId="6D2B3A43">
            <w:pPr>
              <w:jc w:val="center"/>
              <w:rPr>
                <w:rFonts w:ascii="宋体" w:hAnsi="宋体" w:cs="Calibri"/>
                <w:sz w:val="28"/>
                <w:szCs w:val="28"/>
              </w:rPr>
            </w:pPr>
            <w:r>
              <w:rPr>
                <w:rFonts w:ascii="宋体" w:hAnsi="宋体" w:cs="Calibri"/>
                <w:sz w:val="28"/>
                <w:szCs w:val="28"/>
              </w:rPr>
              <w:t>6</w:t>
            </w:r>
          </w:p>
        </w:tc>
        <w:tc>
          <w:tcPr>
            <w:tcW w:w="2268" w:type="dxa"/>
            <w:tcBorders>
              <w:top w:val="single" w:color="auto" w:sz="4" w:space="0"/>
              <w:left w:val="nil"/>
              <w:bottom w:val="single" w:color="auto" w:sz="4" w:space="0"/>
              <w:right w:val="single" w:color="auto" w:sz="4" w:space="0"/>
            </w:tcBorders>
            <w:vAlign w:val="center"/>
          </w:tcPr>
          <w:p w14:paraId="0E82E590">
            <w:pPr>
              <w:jc w:val="center"/>
              <w:rPr>
                <w:rFonts w:ascii="宋体" w:hAnsi="宋体" w:cs="Calibri"/>
                <w:sz w:val="28"/>
                <w:szCs w:val="28"/>
              </w:rPr>
            </w:pPr>
            <w:r>
              <w:rPr>
                <w:rFonts w:ascii="宋体" w:hAnsi="宋体" w:cs="Calibri"/>
                <w:sz w:val="28"/>
                <w:szCs w:val="28"/>
              </w:rPr>
              <w:t>提货期限</w:t>
            </w:r>
          </w:p>
        </w:tc>
        <w:tc>
          <w:tcPr>
            <w:tcW w:w="6095" w:type="dxa"/>
            <w:tcBorders>
              <w:top w:val="single" w:color="auto" w:sz="4" w:space="0"/>
              <w:left w:val="nil"/>
              <w:bottom w:val="single" w:color="auto" w:sz="4" w:space="0"/>
              <w:right w:val="single" w:color="auto" w:sz="4" w:space="0"/>
            </w:tcBorders>
            <w:vAlign w:val="center"/>
          </w:tcPr>
          <w:p w14:paraId="13937E9E">
            <w:pPr>
              <w:jc w:val="left"/>
              <w:rPr>
                <w:rFonts w:ascii="宋体" w:hAnsi="宋体" w:cs="Calibri"/>
                <w:sz w:val="28"/>
                <w:szCs w:val="28"/>
              </w:rPr>
            </w:pPr>
            <w:r>
              <w:rPr>
                <w:rFonts w:hint="eastAsia" w:ascii="宋体" w:hAnsi="宋体" w:cs="Calibri"/>
                <w:sz w:val="28"/>
                <w:szCs w:val="28"/>
              </w:rPr>
              <w:t>自合同签订之日起</w:t>
            </w:r>
            <w:r>
              <w:rPr>
                <w:rFonts w:hint="eastAsia" w:ascii="宋体" w:hAnsi="宋体" w:cs="Calibri"/>
                <w:sz w:val="28"/>
                <w:szCs w:val="28"/>
                <w:lang w:val="en-US" w:eastAsia="zh-CN"/>
              </w:rPr>
              <w:t>1</w:t>
            </w:r>
            <w:r>
              <w:rPr>
                <w:rFonts w:hint="eastAsia" w:ascii="宋体" w:hAnsi="宋体" w:cs="Calibri"/>
                <w:sz w:val="28"/>
                <w:szCs w:val="28"/>
              </w:rPr>
              <w:t>0天内</w:t>
            </w:r>
          </w:p>
        </w:tc>
      </w:tr>
      <w:tr w14:paraId="70EBA955">
        <w:tblPrEx>
          <w:tblCellMar>
            <w:top w:w="0" w:type="dxa"/>
            <w:left w:w="108" w:type="dxa"/>
            <w:bottom w:w="0" w:type="dxa"/>
            <w:right w:w="108" w:type="dxa"/>
          </w:tblCellMar>
        </w:tblPrEx>
        <w:trPr>
          <w:trHeight w:val="851" w:hRule="atLeast"/>
        </w:trPr>
        <w:tc>
          <w:tcPr>
            <w:tcW w:w="959" w:type="dxa"/>
            <w:tcBorders>
              <w:top w:val="single" w:color="auto" w:sz="4" w:space="0"/>
              <w:left w:val="single" w:color="auto" w:sz="4" w:space="0"/>
              <w:bottom w:val="single" w:color="auto" w:sz="4" w:space="0"/>
              <w:right w:val="single" w:color="auto" w:sz="4" w:space="0"/>
            </w:tcBorders>
            <w:vAlign w:val="center"/>
          </w:tcPr>
          <w:p w14:paraId="7C06D5B2">
            <w:pPr>
              <w:jc w:val="center"/>
              <w:rPr>
                <w:rFonts w:ascii="宋体" w:hAnsi="宋体" w:cs="Calibri"/>
                <w:sz w:val="28"/>
                <w:szCs w:val="28"/>
              </w:rPr>
            </w:pPr>
            <w:r>
              <w:rPr>
                <w:rFonts w:hint="eastAsia" w:ascii="宋体" w:hAnsi="宋体" w:cs="Calibri"/>
                <w:sz w:val="28"/>
                <w:szCs w:val="28"/>
              </w:rPr>
              <w:t>7</w:t>
            </w:r>
          </w:p>
        </w:tc>
        <w:tc>
          <w:tcPr>
            <w:tcW w:w="2268" w:type="dxa"/>
            <w:tcBorders>
              <w:top w:val="single" w:color="auto" w:sz="4" w:space="0"/>
              <w:left w:val="nil"/>
              <w:bottom w:val="single" w:color="auto" w:sz="4" w:space="0"/>
              <w:right w:val="single" w:color="auto" w:sz="4" w:space="0"/>
            </w:tcBorders>
            <w:vAlign w:val="center"/>
          </w:tcPr>
          <w:p w14:paraId="5C3B5B97">
            <w:pPr>
              <w:jc w:val="center"/>
              <w:rPr>
                <w:rFonts w:ascii="宋体" w:hAnsi="宋体" w:cs="Calibri"/>
                <w:sz w:val="28"/>
                <w:szCs w:val="28"/>
              </w:rPr>
            </w:pPr>
            <w:r>
              <w:rPr>
                <w:rFonts w:ascii="宋体" w:hAnsi="宋体" w:cs="Calibri"/>
                <w:sz w:val="28"/>
                <w:szCs w:val="28"/>
              </w:rPr>
              <w:t>特别提示</w:t>
            </w:r>
          </w:p>
        </w:tc>
        <w:tc>
          <w:tcPr>
            <w:tcW w:w="6095" w:type="dxa"/>
            <w:tcBorders>
              <w:top w:val="single" w:color="auto" w:sz="4" w:space="0"/>
              <w:left w:val="nil"/>
              <w:bottom w:val="single" w:color="auto" w:sz="4" w:space="0"/>
              <w:right w:val="single" w:color="auto" w:sz="4" w:space="0"/>
            </w:tcBorders>
            <w:vAlign w:val="center"/>
          </w:tcPr>
          <w:p w14:paraId="38E3F40B">
            <w:pPr>
              <w:jc w:val="left"/>
              <w:rPr>
                <w:rFonts w:ascii="宋体" w:hAnsi="宋体" w:cs="Calibri"/>
                <w:sz w:val="28"/>
                <w:szCs w:val="28"/>
              </w:rPr>
            </w:pPr>
            <w:r>
              <w:rPr>
                <w:rFonts w:hint="eastAsia" w:ascii="宋体" w:hAnsi="宋体" w:cs="Calibri"/>
                <w:sz w:val="28"/>
                <w:szCs w:val="28"/>
              </w:rPr>
              <w:t>买受人接到《竞价成交确认书》</w:t>
            </w:r>
            <w:r>
              <w:rPr>
                <w:rFonts w:hint="eastAsia" w:ascii="宋体" w:hAnsi="宋体" w:cs="Calibri"/>
                <w:sz w:val="28"/>
                <w:szCs w:val="28"/>
                <w:u w:val="single"/>
              </w:rPr>
              <w:t>5</w:t>
            </w:r>
            <w:r>
              <w:rPr>
                <w:rFonts w:hint="eastAsia" w:ascii="宋体" w:hAnsi="宋体" w:cs="Calibri"/>
                <w:sz w:val="28"/>
                <w:szCs w:val="28"/>
              </w:rPr>
              <w:t>日内，将货款通过企业账户转入生产物资调剂中心指定账户并与生产物资调剂中心业务部门签订合同,逾期视为违约</w:t>
            </w:r>
            <w:r>
              <w:rPr>
                <w:rFonts w:ascii="宋体" w:hAnsi="宋体" w:cs="Calibri"/>
                <w:sz w:val="28"/>
                <w:szCs w:val="28"/>
              </w:rPr>
              <w:t>。</w:t>
            </w:r>
          </w:p>
        </w:tc>
      </w:tr>
    </w:tbl>
    <w:p w14:paraId="072B1443">
      <w:pPr>
        <w:autoSpaceDE w:val="0"/>
        <w:autoSpaceDN w:val="0"/>
        <w:adjustRightInd w:val="0"/>
        <w:spacing w:line="360" w:lineRule="auto"/>
        <w:ind w:firstLine="643"/>
        <w:jc w:val="left"/>
        <w:rPr>
          <w:rFonts w:ascii="宋体" w:hAnsi="宋体" w:cs="Calibri"/>
          <w:sz w:val="32"/>
          <w:szCs w:val="32"/>
        </w:rPr>
      </w:pPr>
    </w:p>
    <w:p w14:paraId="0CE63BC7">
      <w:pPr>
        <w:autoSpaceDE w:val="0"/>
        <w:autoSpaceDN w:val="0"/>
        <w:adjustRightInd w:val="0"/>
        <w:spacing w:line="360" w:lineRule="auto"/>
        <w:ind w:firstLine="643"/>
        <w:jc w:val="left"/>
        <w:rPr>
          <w:rFonts w:ascii="宋体" w:hAnsi="宋体" w:cs="Calibri"/>
          <w:sz w:val="32"/>
          <w:szCs w:val="32"/>
        </w:rPr>
      </w:pPr>
      <w:r>
        <w:rPr>
          <w:rFonts w:hint="eastAsia" w:ascii="宋体" w:hAnsi="宋体" w:cs="Calibri"/>
          <w:sz w:val="32"/>
          <w:szCs w:val="32"/>
        </w:rPr>
        <w:t>第二部分</w:t>
      </w:r>
      <w:r>
        <w:rPr>
          <w:rFonts w:ascii="宋体" w:hAnsi="宋体" w:cs="Calibri"/>
          <w:sz w:val="32"/>
          <w:szCs w:val="32"/>
        </w:rPr>
        <w:t xml:space="preserve"> </w:t>
      </w:r>
      <w:r>
        <w:rPr>
          <w:rFonts w:hint="eastAsia" w:ascii="宋体" w:hAnsi="宋体" w:cs="Calibri"/>
          <w:sz w:val="32"/>
          <w:szCs w:val="32"/>
        </w:rPr>
        <w:t>通则</w:t>
      </w:r>
    </w:p>
    <w:p w14:paraId="4DD211FE">
      <w:pPr>
        <w:autoSpaceDE w:val="0"/>
        <w:autoSpaceDN w:val="0"/>
        <w:adjustRightInd w:val="0"/>
        <w:spacing w:line="360" w:lineRule="auto"/>
        <w:ind w:firstLine="566"/>
        <w:jc w:val="left"/>
        <w:rPr>
          <w:rFonts w:ascii="宋体" w:hAnsi="宋体" w:cs="Calibri"/>
          <w:sz w:val="32"/>
          <w:szCs w:val="32"/>
        </w:rPr>
      </w:pPr>
      <w:r>
        <w:rPr>
          <w:rFonts w:hint="eastAsia" w:ascii="宋体" w:hAnsi="宋体" w:cs="Calibri"/>
          <w:sz w:val="32"/>
          <w:szCs w:val="32"/>
        </w:rPr>
        <w:t>2.</w:t>
      </w:r>
      <w:r>
        <w:rPr>
          <w:rFonts w:ascii="宋体" w:hAnsi="宋体" w:cs="Calibri"/>
          <w:sz w:val="32"/>
          <w:szCs w:val="32"/>
        </w:rPr>
        <w:t>1</w:t>
      </w:r>
      <w:r>
        <w:rPr>
          <w:rFonts w:hint="eastAsia" w:ascii="宋体" w:hAnsi="宋体" w:cs="Calibri"/>
          <w:sz w:val="32"/>
          <w:szCs w:val="32"/>
        </w:rPr>
        <w:t xml:space="preserve"> 竞买人应当认真阅读并理解本须知的全部内容。竞买人在竞买平台注册竞买账号或参与任何网络竞买活动，即视为竞买人同意遵守本须知。</w:t>
      </w:r>
    </w:p>
    <w:p w14:paraId="135A167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2.2 竞买人资质符合附表二中要求，并具备操作计算机的能力。法律、法规对买受人资格或者条件有特殊规定的，竞买人应当具备规定的资格或者条件。</w:t>
      </w:r>
    </w:p>
    <w:p w14:paraId="73F1F527">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2.3 竞买人之间不得恶意串通、操纵竞买，违者承担相关法律法规责任。</w:t>
      </w:r>
    </w:p>
    <w:p w14:paraId="0B8A6E41">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2.4 竞买人应当在报名截止前完成竞买报名事宜，并按要求缴纳足额竞买保证金。按照竞买要求，如需要进行报名审核，竞买人在通过报名审核后正式报名成功。</w:t>
      </w:r>
    </w:p>
    <w:p w14:paraId="46FBBF9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2.5 竞买人应当自行对竞买标的进行考察并作出判断。出卖方在竞买平台上发布的与竞买处置物相关的图片及其资料仅供参考，竞买人不应仅依赖图片对竞买处置物的状况做出判断。按照有关规定及</w:t>
      </w:r>
      <w:r>
        <w:rPr>
          <w:rFonts w:ascii="宋体" w:hAnsi="宋体" w:cs="Calibri"/>
          <w:sz w:val="32"/>
          <w:szCs w:val="32"/>
        </w:rPr>
        <w:t>“</w:t>
      </w:r>
      <w:r>
        <w:rPr>
          <w:rFonts w:hint="eastAsia" w:ascii="宋体" w:hAnsi="宋体" w:cs="Calibri"/>
          <w:sz w:val="32"/>
          <w:szCs w:val="32"/>
        </w:rPr>
        <w:t>依物品现状进行竞买</w:t>
      </w:r>
      <w:r>
        <w:rPr>
          <w:rFonts w:ascii="宋体" w:hAnsi="宋体" w:cs="Calibri"/>
          <w:sz w:val="32"/>
          <w:szCs w:val="32"/>
        </w:rPr>
        <w:t>”</w:t>
      </w:r>
      <w:r>
        <w:rPr>
          <w:rFonts w:hint="eastAsia" w:ascii="宋体" w:hAnsi="宋体" w:cs="Calibri"/>
          <w:sz w:val="32"/>
          <w:szCs w:val="32"/>
        </w:rPr>
        <w:t>的国际惯例，生产物资调剂中心可以按照不同竞买规则选择是否对竞买货品预展，并声明不承担瑕疵担保责任。对于预展的竞买标的，预展期间，竞买人可自行看货，实地勘察竞买处置物，充分了解竞买处置物情况，竞买人应自行决定是否聘请专家帮助，避免盲目竞买，并自行负责相关一切费用，遵守看货管理规定。</w:t>
      </w:r>
    </w:p>
    <w:p w14:paraId="3A84F107">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2.6 竞买人一旦参加竞买，即表示接受竞买处置物之一切</w:t>
      </w:r>
    </w:p>
    <w:p w14:paraId="0ECD7182">
      <w:pPr>
        <w:autoSpaceDE w:val="0"/>
        <w:autoSpaceDN w:val="0"/>
        <w:adjustRightInd w:val="0"/>
        <w:spacing w:line="360" w:lineRule="auto"/>
        <w:jc w:val="left"/>
        <w:rPr>
          <w:rFonts w:ascii="宋体" w:hAnsi="宋体" w:cs="Calibri"/>
          <w:sz w:val="32"/>
          <w:szCs w:val="32"/>
        </w:rPr>
      </w:pPr>
      <w:r>
        <w:rPr>
          <w:rFonts w:hint="eastAsia" w:ascii="宋体" w:hAnsi="宋体" w:cs="Calibri"/>
          <w:sz w:val="32"/>
          <w:szCs w:val="32"/>
        </w:rPr>
        <w:t>现状和本规则之全部条款，并对自己的竞买行为负法律责任，不得在成交后以不了解竞买处置物情况为理由反悔，一经成交确认，生产物资调剂中心及平台运营方不因处置物瑕疵或可能存在的瑕疵承担任何责任。</w:t>
      </w:r>
    </w:p>
    <w:p w14:paraId="5686585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2.7 竞买人一经应价，不得撤回，当其他竞买人有更高应价时，其应价即丧失约束力。</w:t>
      </w:r>
    </w:p>
    <w:p w14:paraId="39EDFE3E">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2.8 竞买处置物成交后，竞价成功的竞买人变为买受人，买受人须</w:t>
      </w:r>
      <w:r>
        <w:rPr>
          <w:rFonts w:ascii="宋体" w:hAnsi="宋体" w:cs="Calibri"/>
          <w:sz w:val="32"/>
          <w:szCs w:val="32"/>
        </w:rPr>
        <w:t>48小时内</w:t>
      </w:r>
      <w:r>
        <w:rPr>
          <w:rFonts w:hint="eastAsia" w:ascii="宋体" w:hAnsi="宋体" w:cs="Calibri"/>
          <w:sz w:val="32"/>
          <w:szCs w:val="32"/>
        </w:rPr>
        <w:t>在</w:t>
      </w:r>
      <w:r>
        <w:rPr>
          <w:rFonts w:ascii="宋体" w:hAnsi="宋体" w:cs="Calibri"/>
          <w:sz w:val="32"/>
          <w:szCs w:val="32"/>
        </w:rPr>
        <w:t>平台点击确认按钮</w:t>
      </w:r>
      <w:r>
        <w:rPr>
          <w:rFonts w:hint="eastAsia" w:ascii="宋体" w:hAnsi="宋体" w:cs="Calibri"/>
          <w:sz w:val="32"/>
          <w:szCs w:val="32"/>
        </w:rPr>
        <w:t>，并在三日内到招标运行室按要求签署纸质《竞价成交确认书》，同时按《竞价成交确认书》要求将货款缴纳至生产物资调剂中心指定账户，并与生产物资调剂中心签订销售合同等手续。</w:t>
      </w:r>
    </w:p>
    <w:p w14:paraId="4AFB3630">
      <w:pPr>
        <w:pStyle w:val="4"/>
        <w:spacing w:before="0" w:beforeAutospacing="0" w:after="0" w:afterAutospacing="0" w:line="220" w:lineRule="auto"/>
        <w:ind w:firstLine="640" w:firstLineChars="200"/>
        <w:rPr>
          <w:rFonts w:cs="Calibri"/>
          <w:kern w:val="2"/>
          <w:sz w:val="32"/>
          <w:szCs w:val="32"/>
        </w:rPr>
      </w:pPr>
      <w:r>
        <w:rPr>
          <w:rFonts w:hint="eastAsia" w:cs="Calibri"/>
          <w:kern w:val="2"/>
          <w:sz w:val="32"/>
          <w:szCs w:val="32"/>
        </w:rPr>
        <w:t>2.8.1 合同双方授权其代理人代表合同双方在【中石化电子签约平台】进行注册，并通过CA证书进行签约，并承担由此产生的权利义务。合同双方将妥善保管有关【中石化电子签约平台】的账户信息、密码以及CA证书。合同双方知晓且同意通过代理人密码登录账户后的所有操作视为合同双方的行为，承担由此产生的一切法律后果。合同双方的代理人包括在【中石化电子签约平台】完成认证并具有相应盖章、签字权限的管理员、盖章人或签名人。</w:t>
      </w:r>
      <w:r>
        <w:rPr>
          <w:rFonts w:cs="Calibri"/>
          <w:kern w:val="2"/>
          <w:sz w:val="32"/>
          <w:szCs w:val="32"/>
        </w:rPr>
        <w:br w:type="textWrapping"/>
      </w:r>
      <w:r>
        <w:rPr>
          <w:rFonts w:hint="eastAsia" w:cs="Calibri"/>
          <w:kern w:val="2"/>
          <w:sz w:val="32"/>
          <w:szCs w:val="32"/>
        </w:rPr>
        <w:t xml:space="preserve">    2.8.2 合同双方同意，本合同的签署将使用电子签名、电子合同。一方通过登陆电子签约平台，在相关电子合同通过CA证书进行电子签名的，视为一方有效签署合同。本合同在双方通过CA证书进行电子签名后生效。如各方的电子签名时间不一致的，以最后电子签名的时间为准。电子签名与在纸质合同上手写签名或者盖章具有同等的法律效力。</w:t>
      </w:r>
    </w:p>
    <w:p w14:paraId="5678D60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2.9 竞买处置物成交后，买受人自行与生产物资调剂中心协商办理竞买处置物移交等一切事宜，并承担所发生的与成交处置物有关的全部费用与责任。竞买处置物一经中标方确认，所发生的丢失、损毁、事故、拉货过程可能产生的纠纷等责任均由买受方承担。若买受人成交后反悔，竞买保证金不予退回。</w:t>
      </w:r>
    </w:p>
    <w:p w14:paraId="0F4A484A">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2.10 本处置物提货期限为</w:t>
      </w:r>
      <w:r>
        <w:rPr>
          <w:rFonts w:hint="eastAsia" w:ascii="宋体" w:hAnsi="宋体" w:cs="Calibri"/>
          <w:sz w:val="32"/>
          <w:szCs w:val="32"/>
          <w:u w:val="single"/>
          <w:lang w:val="en-US" w:eastAsia="zh-CN"/>
        </w:rPr>
        <w:t>1</w:t>
      </w:r>
      <w:r>
        <w:rPr>
          <w:rFonts w:hint="eastAsia" w:ascii="宋体" w:hAnsi="宋体" w:cs="Calibri"/>
          <w:sz w:val="32"/>
          <w:szCs w:val="32"/>
          <w:u w:val="single"/>
        </w:rPr>
        <w:t>0</w:t>
      </w:r>
      <w:r>
        <w:rPr>
          <w:rFonts w:hint="eastAsia" w:ascii="宋体" w:hAnsi="宋体" w:cs="Calibri"/>
          <w:sz w:val="32"/>
          <w:szCs w:val="32"/>
        </w:rPr>
        <w:t>天，买受人应在甲方指定日期内完成自行解决拆解、装车、运输及场地清扫事宜，且自行承担相关费用。成交的处置物不能随意挑选和丢弃，并严格按照处置物所属单位要求清运。如遇特殊情况买受人无法在约定期限内完成，买受人必须与生产物资调剂中心协商，同意后可顺延工期。</w:t>
      </w:r>
    </w:p>
    <w:p w14:paraId="660E9ED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2.11 严格遵守国家、地方政府、中国石油化工集团公司、中原油田及资产所属单位有关安全生产的法律、法规、制度和规定。特种作业人员必须持证上岗，现场作业人员安全防护用品配备齐全， 对使用的施工设备、机具入场前进行检查，确保设备、机具始终处于良好的工作状态。参加资产所属单位组织的入场安全、环保教育培训，保证从业人员掌握必需的安全生产知识、操作技能和应急逃生知识。买受人进行吊装、运输作业时，必须严格执行中原油田现场安全管理规定，所有作业人员应穿戴好满足作业要求的劳保用品。并负责处理当地工农关系，如因违反规定造成的任何损失及使用中出现的任何问题，由买受人承担全部责任和全部经济损失。</w:t>
      </w:r>
    </w:p>
    <w:p w14:paraId="06E2D4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2.12 未成交的竞买人交付的竞买保证金，由易派客废旧物资处置平台按相关规定内退还（不计利息），如竞买保证金退还需要支付手续费，则应由竞买人承担；竞买人竞买成交，在履行完合同后，由易派客废旧物资处置平台根据生产物资调剂中心《购买商现场提货及合同履约情况评定报告》意见，结合平台收费情况，按相关规定退还剩余竞买保证金。</w:t>
      </w:r>
    </w:p>
    <w:p w14:paraId="5AECEC2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2.13 生产物资调剂中心及平台运营方有权对处置物的有关情况（包括但不限于起拍价、保留价、竞买阶梯、竞买时间、标的竞买的顺序、有关图像、文字资料）在竞买标的未开始竞买之前进行修改和解释，竞买人应当予以充分理解并在竞买标的开始竞买之前注意。竞买人在成交后不得以竞买处置物的有关情况在竞买开始前改变为理由反悔，一经成交确认，生产物资调剂中心、平台运营方不因此承担任何责任。</w:t>
      </w:r>
    </w:p>
    <w:p w14:paraId="7EF8DBD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2.14 竞买程序因生产物资调剂中心撤回竞买活动，或因不可抗力等意外事件发生使网络竞买程序暂停或终止的，生产物资调剂中心、平台运营方不承担违约责任。</w:t>
      </w:r>
    </w:p>
    <w:p w14:paraId="7F153A6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2.15 竞买人违约界定：</w:t>
      </w:r>
    </w:p>
    <w:p w14:paraId="5373B02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下列情况均视为违约：</w:t>
      </w:r>
    </w:p>
    <w:p w14:paraId="32D1C2B6">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1.竞买人竞价成交后，逾期不签订《竞价成交确认书》；</w:t>
      </w:r>
    </w:p>
    <w:p w14:paraId="7F074FB3">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2.竞买人竞价成交后，逾期不足额缴纳货款；</w:t>
      </w:r>
    </w:p>
    <w:p w14:paraId="27E9922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3.竞买人竞价成交后，逾期不签订合同；</w:t>
      </w:r>
    </w:p>
    <w:p w14:paraId="203C7A4D">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4.合同签订后未如期履约；</w:t>
      </w:r>
    </w:p>
    <w:p w14:paraId="0BFA77F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5.履约过程中毁约；</w:t>
      </w:r>
    </w:p>
    <w:p w14:paraId="1E9F07DC">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6.合同履约过程中违反处置物所属单位安全管理规定并造成恶劣影响或造成经济损失或导致安全事故的；</w:t>
      </w:r>
      <w:r>
        <w:rPr>
          <w:rFonts w:ascii="宋体" w:hAnsi="宋体" w:cs="Calibri"/>
          <w:sz w:val="32"/>
          <w:szCs w:val="32"/>
        </w:rPr>
        <w:t xml:space="preserve"> </w:t>
      </w:r>
    </w:p>
    <w:p w14:paraId="4FCAE9AE">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7.经查实违反通则2.3条。</w:t>
      </w:r>
    </w:p>
    <w:p w14:paraId="6CE345D9">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2.16 违约赔偿：</w:t>
      </w:r>
    </w:p>
    <w:p w14:paraId="0274B76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对于违约的买受人，生产物资调剂中心将被取消其买受资格，买受人竞买保证金或履约保证金不予退回，停止经济往来一年，暂停合作处理期限内，竞买平台将不再接受该买受方的竞买参与申请。</w:t>
      </w:r>
    </w:p>
    <w:p w14:paraId="0FA2E200">
      <w:pPr>
        <w:autoSpaceDE w:val="0"/>
        <w:autoSpaceDN w:val="0"/>
        <w:adjustRightInd w:val="0"/>
        <w:spacing w:line="360" w:lineRule="auto"/>
        <w:ind w:firstLine="640" w:firstLineChars="200"/>
        <w:jc w:val="left"/>
        <w:rPr>
          <w:rFonts w:ascii="宋体" w:hAnsi="宋体" w:cs="Calibri"/>
          <w:sz w:val="32"/>
          <w:szCs w:val="32"/>
        </w:rPr>
      </w:pPr>
      <w:r>
        <w:rPr>
          <w:rFonts w:ascii="宋体" w:hAnsi="宋体" w:cs="Calibri"/>
          <w:sz w:val="32"/>
          <w:szCs w:val="32"/>
        </w:rPr>
        <w:t xml:space="preserve"> </w:t>
      </w:r>
      <w:r>
        <w:rPr>
          <w:rFonts w:hint="eastAsia" w:ascii="宋体" w:hAnsi="宋体" w:cs="Calibri"/>
          <w:sz w:val="32"/>
          <w:szCs w:val="32"/>
        </w:rPr>
        <w:t>2.17 网上竞买风险声明</w:t>
      </w:r>
    </w:p>
    <w:p w14:paraId="0856732F">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由于互联网可能出现不稳定情况，不排除网络竞买发生故障（包括但不限于网络故障、电路故障、系统故障、计算机病毒、系统停机维护、通讯终端或电信设备出现故障不能进行数据传输、电信部门技术调整或故障、网站升级）以及被网络黑客恶意攻击的可能性，因前述原因或其他不可抗力因素，或因竞买人自身原因（包括但不限于竞买人自身终端设备和网络异常等原因）或第三方原因导致无法正常竞买的，生产物资调剂中心及平台运营方不承担任何责任。</w:t>
      </w:r>
    </w:p>
    <w:p w14:paraId="3669B7E9">
      <w:pPr>
        <w:autoSpaceDE w:val="0"/>
        <w:autoSpaceDN w:val="0"/>
        <w:adjustRightInd w:val="0"/>
        <w:spacing w:line="360" w:lineRule="auto"/>
        <w:ind w:firstLine="640" w:firstLineChars="200"/>
        <w:jc w:val="left"/>
        <w:rPr>
          <w:rFonts w:ascii="宋体" w:hAnsi="宋体" w:cs="Calibri"/>
          <w:sz w:val="32"/>
          <w:szCs w:val="32"/>
        </w:rPr>
      </w:pPr>
    </w:p>
    <w:p w14:paraId="252738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 xml:space="preserve"> </w:t>
      </w:r>
    </w:p>
    <w:p w14:paraId="059441DE">
      <w:pPr>
        <w:autoSpaceDE w:val="0"/>
        <w:autoSpaceDN w:val="0"/>
        <w:adjustRightInd w:val="0"/>
        <w:spacing w:line="360" w:lineRule="auto"/>
        <w:ind w:left="2100" w:leftChars="1000" w:firstLine="2240" w:firstLineChars="700"/>
        <w:jc w:val="left"/>
        <w:rPr>
          <w:rFonts w:ascii="宋体" w:hAnsi="宋体" w:cs="Calibri"/>
          <w:sz w:val="32"/>
          <w:szCs w:val="32"/>
        </w:rPr>
      </w:pPr>
      <w:r>
        <w:rPr>
          <w:rFonts w:hint="eastAsia" w:ascii="宋体" w:hAnsi="宋体" w:cs="Calibri"/>
          <w:sz w:val="32"/>
          <w:szCs w:val="32"/>
        </w:rPr>
        <w:t>中国石化集团中原石油勘探局</w:t>
      </w:r>
    </w:p>
    <w:p w14:paraId="118FA7D9">
      <w:pPr>
        <w:autoSpaceDE w:val="0"/>
        <w:autoSpaceDN w:val="0"/>
        <w:adjustRightInd w:val="0"/>
        <w:spacing w:line="360" w:lineRule="auto"/>
        <w:ind w:left="4583" w:leftChars="2106" w:hanging="160" w:hangingChars="50"/>
        <w:jc w:val="left"/>
        <w:rPr>
          <w:rFonts w:ascii="宋体" w:hAnsi="宋体" w:cs="Calibri"/>
          <w:sz w:val="32"/>
          <w:szCs w:val="32"/>
        </w:rPr>
      </w:pPr>
      <w:r>
        <w:rPr>
          <w:rFonts w:hint="eastAsia" w:ascii="宋体" w:hAnsi="宋体" w:cs="Calibri"/>
          <w:sz w:val="32"/>
          <w:szCs w:val="32"/>
        </w:rPr>
        <w:t>有限公司生产物资调剂中心</w:t>
      </w:r>
      <w:r>
        <w:rPr>
          <w:rFonts w:ascii="宋体" w:hAnsi="宋体" w:cs="Calibri"/>
          <w:sz w:val="32"/>
          <w:szCs w:val="32"/>
        </w:rPr>
        <w:t xml:space="preserve">                         </w:t>
      </w:r>
    </w:p>
    <w:p w14:paraId="3AE232C3">
      <w:pPr>
        <w:autoSpaceDE w:val="0"/>
        <w:autoSpaceDN w:val="0"/>
        <w:adjustRightInd w:val="0"/>
        <w:spacing w:line="360" w:lineRule="auto"/>
        <w:ind w:left="4742" w:leftChars="2258" w:firstLine="480" w:firstLineChars="150"/>
        <w:jc w:val="left"/>
        <w:rPr>
          <w:rFonts w:ascii="宋体" w:hAnsi="宋体" w:cs="Calibri"/>
          <w:sz w:val="32"/>
          <w:szCs w:val="32"/>
        </w:rPr>
      </w:pPr>
      <w:r>
        <w:rPr>
          <w:rFonts w:ascii="宋体" w:hAnsi="宋体" w:cs="Calibri"/>
          <w:sz w:val="32"/>
          <w:szCs w:val="32"/>
        </w:rPr>
        <w:t>202</w:t>
      </w:r>
      <w:r>
        <w:rPr>
          <w:rFonts w:hint="eastAsia" w:ascii="宋体" w:hAnsi="宋体" w:cs="Calibri"/>
          <w:sz w:val="32"/>
          <w:szCs w:val="32"/>
          <w:lang w:val="en-US" w:eastAsia="zh-CN"/>
        </w:rPr>
        <w:t>6</w:t>
      </w:r>
      <w:r>
        <w:rPr>
          <w:rFonts w:hint="eastAsia" w:ascii="宋体" w:hAnsi="宋体" w:cs="Calibri"/>
          <w:sz w:val="32"/>
          <w:szCs w:val="32"/>
        </w:rPr>
        <w:t>年</w:t>
      </w:r>
      <w:r>
        <w:rPr>
          <w:rFonts w:hint="eastAsia" w:ascii="宋体" w:hAnsi="宋体" w:cs="Calibri"/>
          <w:sz w:val="32"/>
          <w:szCs w:val="32"/>
          <w:lang w:val="en-US" w:eastAsia="zh-CN"/>
        </w:rPr>
        <w:t>4</w:t>
      </w:r>
      <w:r>
        <w:rPr>
          <w:rFonts w:hint="eastAsia" w:ascii="宋体" w:hAnsi="宋体" w:cs="Calibri"/>
          <w:sz w:val="32"/>
          <w:szCs w:val="32"/>
        </w:rPr>
        <w:t>月</w:t>
      </w:r>
      <w:r>
        <w:rPr>
          <w:rFonts w:hint="eastAsia" w:ascii="宋体" w:hAnsi="宋体" w:cs="Calibri"/>
          <w:sz w:val="32"/>
          <w:szCs w:val="32"/>
          <w:lang w:val="en-US" w:eastAsia="zh-CN"/>
        </w:rPr>
        <w:t>16</w:t>
      </w:r>
      <w:r>
        <w:rPr>
          <w:rFonts w:hint="eastAsia" w:ascii="宋体" w:hAnsi="宋体" w:cs="Calibri"/>
          <w:sz w:val="32"/>
          <w:szCs w:val="32"/>
        </w:rPr>
        <w:t>日</w:t>
      </w:r>
    </w:p>
    <w:sectPr>
      <w:pgSz w:w="12240" w:h="15840"/>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3"/>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41C"/>
    <w:rsid w:val="0000040B"/>
    <w:rsid w:val="00031C28"/>
    <w:rsid w:val="00045E17"/>
    <w:rsid w:val="000517EA"/>
    <w:rsid w:val="000542BC"/>
    <w:rsid w:val="00076FAE"/>
    <w:rsid w:val="000B6393"/>
    <w:rsid w:val="000C4BE1"/>
    <w:rsid w:val="000F16C6"/>
    <w:rsid w:val="0011781E"/>
    <w:rsid w:val="00126B5A"/>
    <w:rsid w:val="001D4356"/>
    <w:rsid w:val="001E6101"/>
    <w:rsid w:val="002B6542"/>
    <w:rsid w:val="003141E8"/>
    <w:rsid w:val="00362C02"/>
    <w:rsid w:val="003720A1"/>
    <w:rsid w:val="003943C5"/>
    <w:rsid w:val="003E6F87"/>
    <w:rsid w:val="003F0EAB"/>
    <w:rsid w:val="00456C13"/>
    <w:rsid w:val="00492175"/>
    <w:rsid w:val="00496147"/>
    <w:rsid w:val="004D538E"/>
    <w:rsid w:val="00546904"/>
    <w:rsid w:val="00557D21"/>
    <w:rsid w:val="005651BA"/>
    <w:rsid w:val="005B7FBF"/>
    <w:rsid w:val="005E5BF1"/>
    <w:rsid w:val="00600D4B"/>
    <w:rsid w:val="00613736"/>
    <w:rsid w:val="007D28C2"/>
    <w:rsid w:val="007D77A8"/>
    <w:rsid w:val="007F2E7D"/>
    <w:rsid w:val="00801F60"/>
    <w:rsid w:val="00816CEA"/>
    <w:rsid w:val="00893D77"/>
    <w:rsid w:val="008E150F"/>
    <w:rsid w:val="00901D4F"/>
    <w:rsid w:val="00AA1B8C"/>
    <w:rsid w:val="00AB5AD4"/>
    <w:rsid w:val="00B22A46"/>
    <w:rsid w:val="00B36953"/>
    <w:rsid w:val="00BD10BD"/>
    <w:rsid w:val="00BE15C9"/>
    <w:rsid w:val="00C30DF7"/>
    <w:rsid w:val="00C351DF"/>
    <w:rsid w:val="00CC041C"/>
    <w:rsid w:val="00CC7DA1"/>
    <w:rsid w:val="00D41C58"/>
    <w:rsid w:val="00D45ACD"/>
    <w:rsid w:val="00D47FB6"/>
    <w:rsid w:val="00D81B04"/>
    <w:rsid w:val="00DC014E"/>
    <w:rsid w:val="00DD116B"/>
    <w:rsid w:val="00E52530"/>
    <w:rsid w:val="00E93847"/>
    <w:rsid w:val="00EC0900"/>
    <w:rsid w:val="00F21F7F"/>
    <w:rsid w:val="00F4773A"/>
    <w:rsid w:val="00F6182E"/>
    <w:rsid w:val="00F84FB1"/>
    <w:rsid w:val="010C3DC8"/>
    <w:rsid w:val="019604A9"/>
    <w:rsid w:val="01CC0983"/>
    <w:rsid w:val="049B78C5"/>
    <w:rsid w:val="05B40632"/>
    <w:rsid w:val="05EB5EC4"/>
    <w:rsid w:val="08DB1C0A"/>
    <w:rsid w:val="090C5F95"/>
    <w:rsid w:val="09277590"/>
    <w:rsid w:val="0AAB2F8F"/>
    <w:rsid w:val="0B441C65"/>
    <w:rsid w:val="0C686768"/>
    <w:rsid w:val="0FD24756"/>
    <w:rsid w:val="108871AD"/>
    <w:rsid w:val="10992CCA"/>
    <w:rsid w:val="10A4325A"/>
    <w:rsid w:val="11624912"/>
    <w:rsid w:val="1173262D"/>
    <w:rsid w:val="122C1A31"/>
    <w:rsid w:val="123910F2"/>
    <w:rsid w:val="12EC5894"/>
    <w:rsid w:val="136163C9"/>
    <w:rsid w:val="1365731D"/>
    <w:rsid w:val="137A4F81"/>
    <w:rsid w:val="13F0367C"/>
    <w:rsid w:val="14576EEE"/>
    <w:rsid w:val="14BA1191"/>
    <w:rsid w:val="155A4984"/>
    <w:rsid w:val="161810CD"/>
    <w:rsid w:val="16B90C56"/>
    <w:rsid w:val="16C24C59"/>
    <w:rsid w:val="1774512F"/>
    <w:rsid w:val="18BF684B"/>
    <w:rsid w:val="19D41AA7"/>
    <w:rsid w:val="1BAC19F3"/>
    <w:rsid w:val="1C0A3092"/>
    <w:rsid w:val="1C3D1383"/>
    <w:rsid w:val="1C92426F"/>
    <w:rsid w:val="1C993DBE"/>
    <w:rsid w:val="1CBF6038"/>
    <w:rsid w:val="1D7C63EB"/>
    <w:rsid w:val="1EAA0A0C"/>
    <w:rsid w:val="21396212"/>
    <w:rsid w:val="218B5CDC"/>
    <w:rsid w:val="221C4286"/>
    <w:rsid w:val="226714C6"/>
    <w:rsid w:val="22775899"/>
    <w:rsid w:val="22781561"/>
    <w:rsid w:val="22A06A5E"/>
    <w:rsid w:val="242F7169"/>
    <w:rsid w:val="249C4D49"/>
    <w:rsid w:val="25120A61"/>
    <w:rsid w:val="262F72CD"/>
    <w:rsid w:val="271B0BF0"/>
    <w:rsid w:val="294969EF"/>
    <w:rsid w:val="2A7C2741"/>
    <w:rsid w:val="2ADC1861"/>
    <w:rsid w:val="2B401585"/>
    <w:rsid w:val="2CF653D4"/>
    <w:rsid w:val="2D644958"/>
    <w:rsid w:val="2F093B3A"/>
    <w:rsid w:val="2F7047E3"/>
    <w:rsid w:val="2FD34E06"/>
    <w:rsid w:val="30886BC3"/>
    <w:rsid w:val="30996405"/>
    <w:rsid w:val="32611D42"/>
    <w:rsid w:val="32927883"/>
    <w:rsid w:val="32C04FA8"/>
    <w:rsid w:val="32D33160"/>
    <w:rsid w:val="32D373F3"/>
    <w:rsid w:val="32F269A3"/>
    <w:rsid w:val="33DF2DA8"/>
    <w:rsid w:val="34B02C1B"/>
    <w:rsid w:val="35305036"/>
    <w:rsid w:val="36183E38"/>
    <w:rsid w:val="3624775F"/>
    <w:rsid w:val="365A34BC"/>
    <w:rsid w:val="37491AC0"/>
    <w:rsid w:val="37CB75A9"/>
    <w:rsid w:val="37CC0E5B"/>
    <w:rsid w:val="37D800AA"/>
    <w:rsid w:val="38E505E8"/>
    <w:rsid w:val="38F340F8"/>
    <w:rsid w:val="398D7AFC"/>
    <w:rsid w:val="39C62CD0"/>
    <w:rsid w:val="3B77322E"/>
    <w:rsid w:val="3B8F5D0A"/>
    <w:rsid w:val="3C734A0F"/>
    <w:rsid w:val="3E5A0659"/>
    <w:rsid w:val="3F890D4B"/>
    <w:rsid w:val="3FAE608F"/>
    <w:rsid w:val="3FBD5D22"/>
    <w:rsid w:val="404A3387"/>
    <w:rsid w:val="413F0D7B"/>
    <w:rsid w:val="414C642D"/>
    <w:rsid w:val="416A1261"/>
    <w:rsid w:val="42ED13DD"/>
    <w:rsid w:val="43C14C38"/>
    <w:rsid w:val="457C463B"/>
    <w:rsid w:val="45F0744B"/>
    <w:rsid w:val="463D754A"/>
    <w:rsid w:val="48B337D7"/>
    <w:rsid w:val="4910286C"/>
    <w:rsid w:val="494B4BF8"/>
    <w:rsid w:val="49584EA9"/>
    <w:rsid w:val="4A1772E6"/>
    <w:rsid w:val="4A560E9A"/>
    <w:rsid w:val="4B020A9D"/>
    <w:rsid w:val="4BEA46CB"/>
    <w:rsid w:val="4C4A296E"/>
    <w:rsid w:val="4CC0557B"/>
    <w:rsid w:val="4F447498"/>
    <w:rsid w:val="504F449D"/>
    <w:rsid w:val="50737B8A"/>
    <w:rsid w:val="511B55E8"/>
    <w:rsid w:val="51E754ED"/>
    <w:rsid w:val="522804D5"/>
    <w:rsid w:val="52D946DE"/>
    <w:rsid w:val="54250772"/>
    <w:rsid w:val="550E51E9"/>
    <w:rsid w:val="556357A4"/>
    <w:rsid w:val="560165A7"/>
    <w:rsid w:val="570A7ED1"/>
    <w:rsid w:val="59A862A5"/>
    <w:rsid w:val="5A1B5462"/>
    <w:rsid w:val="5A334F2D"/>
    <w:rsid w:val="5A4D36B3"/>
    <w:rsid w:val="5AAD3F24"/>
    <w:rsid w:val="5AB41195"/>
    <w:rsid w:val="5B746998"/>
    <w:rsid w:val="5BC433B0"/>
    <w:rsid w:val="5C5F1E19"/>
    <w:rsid w:val="5C8E4EE7"/>
    <w:rsid w:val="5D406DE3"/>
    <w:rsid w:val="5E4D48C2"/>
    <w:rsid w:val="600A2C1F"/>
    <w:rsid w:val="6091637B"/>
    <w:rsid w:val="61281D72"/>
    <w:rsid w:val="61F749C9"/>
    <w:rsid w:val="631632A8"/>
    <w:rsid w:val="64C14E5C"/>
    <w:rsid w:val="656F762C"/>
    <w:rsid w:val="65EF7ACC"/>
    <w:rsid w:val="668368D6"/>
    <w:rsid w:val="679348FA"/>
    <w:rsid w:val="67A07D7A"/>
    <w:rsid w:val="69904740"/>
    <w:rsid w:val="69DC6DBD"/>
    <w:rsid w:val="69E20CC7"/>
    <w:rsid w:val="6A410CE0"/>
    <w:rsid w:val="6AC45A36"/>
    <w:rsid w:val="6B2A44E1"/>
    <w:rsid w:val="6C9E3B98"/>
    <w:rsid w:val="6D437587"/>
    <w:rsid w:val="6D696F8E"/>
    <w:rsid w:val="6FAC1505"/>
    <w:rsid w:val="702A2124"/>
    <w:rsid w:val="710C2988"/>
    <w:rsid w:val="71151F93"/>
    <w:rsid w:val="73640B72"/>
    <w:rsid w:val="73763CFB"/>
    <w:rsid w:val="73A12D3E"/>
    <w:rsid w:val="73EF66ED"/>
    <w:rsid w:val="74D31A39"/>
    <w:rsid w:val="755A0A19"/>
    <w:rsid w:val="75BD2D3C"/>
    <w:rsid w:val="762019E3"/>
    <w:rsid w:val="7635037C"/>
    <w:rsid w:val="76426341"/>
    <w:rsid w:val="76622FCC"/>
    <w:rsid w:val="76BF71E2"/>
    <w:rsid w:val="76CF7FEE"/>
    <w:rsid w:val="77866A24"/>
    <w:rsid w:val="7787606A"/>
    <w:rsid w:val="78EA1B6E"/>
    <w:rsid w:val="79042B8C"/>
    <w:rsid w:val="79BC49A8"/>
    <w:rsid w:val="7A3D151B"/>
    <w:rsid w:val="7A893B99"/>
    <w:rsid w:val="7AAE4CD2"/>
    <w:rsid w:val="7AD47110"/>
    <w:rsid w:val="7AF27D45"/>
    <w:rsid w:val="7B242713"/>
    <w:rsid w:val="7BDD1F4D"/>
    <w:rsid w:val="7D6026C5"/>
    <w:rsid w:val="7F004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customStyle="1" w:styleId="7">
    <w:name w:val="页眉 Char"/>
    <w:link w:val="3"/>
    <w:qFormat/>
    <w:uiPriority w:val="99"/>
    <w:rPr>
      <w:rFonts w:ascii="Calibri" w:hAnsi="Calibri" w:eastAsia="宋体" w:cs="Times New Roman"/>
      <w:sz w:val="18"/>
      <w:szCs w:val="18"/>
    </w:rPr>
  </w:style>
  <w:style w:type="character" w:customStyle="1" w:styleId="8">
    <w:name w:val="页脚 Char"/>
    <w:link w:val="2"/>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中国石化</Company>
  <Pages>8</Pages>
  <Words>505</Words>
  <Characters>2879</Characters>
  <Lines>23</Lines>
  <Paragraphs>6</Paragraphs>
  <TotalTime>9</TotalTime>
  <ScaleCrop>false</ScaleCrop>
  <LinksUpToDate>false</LinksUpToDate>
  <CharactersWithSpaces>3378</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2023-03-24T01:51:00Z</dcterms:created>
  <dc:creator>中原油田</dc:creator>
  <cp:lastModifiedBy>Administrator</cp:lastModifiedBy>
  <dcterms:modified xsi:type="dcterms:W3CDTF">2026-04-16T07:11:40Z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F2786B3C59B74948B81CB27C4A8A69F3_13</vt:lpwstr>
  </property>
</Properties>
</file>