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101991E">
      <w:pPr>
        <w:jc w:val="center"/>
        <w:rPr>
          <w:rFonts w:hint="default" w:ascii="方正大标宋简体" w:hAnsi="方正大标宋简体" w:eastAsia="方正大标宋简体" w:cs="方正大标宋简体"/>
          <w:sz w:val="44"/>
          <w:szCs w:val="44"/>
          <w:lang w:val="en-US" w:eastAsia="zh-CN"/>
        </w:rPr>
      </w:pPr>
      <w:r>
        <w:rPr>
          <w:rFonts w:hint="eastAsia" w:ascii="方正大标宋简体" w:hAnsi="方正大标宋简体" w:eastAsia="方正大标宋简体" w:cs="方正大标宋简体"/>
          <w:sz w:val="44"/>
          <w:szCs w:val="44"/>
          <w:lang w:val="en-US" w:eastAsia="zh-CN"/>
        </w:rPr>
        <w:t>竞拍须知</w:t>
      </w:r>
    </w:p>
    <w:p w14:paraId="4DBF9D91">
      <w:pPr>
        <w:jc w:val="center"/>
        <w:rPr>
          <w:rFonts w:hint="eastAsia" w:ascii="仿宋_GB2312" w:hAnsi="仿宋_GB2312" w:eastAsia="仿宋_GB2312" w:cs="仿宋_GB2312"/>
          <w:b/>
          <w:bCs/>
          <w:sz w:val="32"/>
          <w:szCs w:val="32"/>
          <w:lang w:val="en-US" w:eastAsia="zh-CN"/>
        </w:rPr>
      </w:pPr>
    </w:p>
    <w:p w14:paraId="35E87E27">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firstLine="640" w:firstLineChars="200"/>
        <w:jc w:val="both"/>
        <w:textAlignment w:val="auto"/>
        <w:rPr>
          <w:rFonts w:hint="eastAsia" w:ascii="仿宋_GB2312" w:hAnsi="仿宋_GB2312" w:eastAsia="仿宋_GB2312" w:cs="仿宋_GB2312"/>
          <w:b w:val="0"/>
          <w:bCs w:val="0"/>
          <w:i w:val="0"/>
          <w:iCs w:val="0"/>
          <w:caps w:val="0"/>
          <w:color w:val="000000" w:themeColor="text1"/>
          <w:spacing w:val="0"/>
          <w:sz w:val="32"/>
          <w:szCs w:val="32"/>
          <w:shd w:val="clear" w:fill="FFFFFF"/>
          <w:lang w:val="en-US" w:eastAsia="zh-CN"/>
          <w14:textFill>
            <w14:solidFill>
              <w14:schemeClr w14:val="tx1"/>
            </w14:solidFill>
          </w14:textFill>
        </w:rPr>
      </w:pPr>
      <w:r>
        <w:rPr>
          <w:rFonts w:hint="eastAsia" w:ascii="仿宋_GB2312" w:hAnsi="仿宋_GB2312" w:eastAsia="仿宋_GB2312" w:cs="仿宋_GB2312"/>
          <w:b w:val="0"/>
          <w:bCs w:val="0"/>
          <w:sz w:val="32"/>
          <w:szCs w:val="32"/>
          <w:lang w:val="en-US" w:eastAsia="zh-CN"/>
        </w:rPr>
        <w:t>1.竞拍人</w:t>
      </w:r>
      <w:r>
        <w:rPr>
          <w:rFonts w:hint="eastAsia" w:ascii="仿宋_GB2312" w:hAnsi="仿宋_GB2312" w:eastAsia="仿宋_GB2312" w:cs="仿宋_GB2312"/>
          <w:b w:val="0"/>
          <w:bCs w:val="0"/>
          <w:color w:val="000000" w:themeColor="text1"/>
          <w:sz w:val="32"/>
          <w:szCs w:val="32"/>
          <w:lang w:val="en-US" w:eastAsia="zh-CN"/>
          <w14:textFill>
            <w14:solidFill>
              <w14:schemeClr w14:val="tx1"/>
            </w14:solidFill>
          </w14:textFill>
        </w:rPr>
        <w:t>必须是企业法人，不接受个人和个体工商户的申请。</w:t>
      </w:r>
      <w:r>
        <w:rPr>
          <w:rFonts w:hint="eastAsia" w:ascii="仿宋_GB2312" w:hAnsi="仿宋_GB2312" w:eastAsia="仿宋_GB2312" w:cs="仿宋_GB2312"/>
          <w:b w:val="0"/>
          <w:bCs w:val="0"/>
          <w:sz w:val="32"/>
          <w:szCs w:val="32"/>
          <w:lang w:val="zh-CN"/>
        </w:rPr>
        <w:t>营业执照经营范围涵盖再生资源回收或废旧物资回收相应资质，</w:t>
      </w:r>
      <w:r>
        <w:rPr>
          <w:rFonts w:hint="eastAsia" w:ascii="仿宋_GB2312" w:hAnsi="仿宋_GB2312" w:eastAsia="仿宋_GB2312" w:cs="仿宋_GB2312"/>
          <w:b w:val="0"/>
          <w:bCs w:val="0"/>
          <w:sz w:val="32"/>
          <w:szCs w:val="32"/>
          <w:lang w:val="en-US" w:eastAsia="zh-CN"/>
        </w:rPr>
        <w:t>且</w:t>
      </w:r>
      <w:r>
        <w:rPr>
          <w:rFonts w:hint="eastAsia" w:ascii="仿宋_GB2312" w:hAnsi="仿宋_GB2312" w:eastAsia="仿宋_GB2312" w:cs="仿宋_GB2312"/>
          <w:b w:val="0"/>
          <w:bCs w:val="0"/>
          <w:sz w:val="32"/>
          <w:szCs w:val="32"/>
          <w:lang w:val="zh-CN"/>
        </w:rPr>
        <w:t>未受处罚禁止或限制竞价，须上传营业执照</w:t>
      </w:r>
      <w:r>
        <w:rPr>
          <w:rFonts w:hint="eastAsia" w:ascii="仿宋_GB2312" w:hAnsi="仿宋_GB2312" w:eastAsia="仿宋_GB2312" w:cs="仿宋_GB2312"/>
          <w:b w:val="0"/>
          <w:bCs w:val="0"/>
          <w:sz w:val="32"/>
          <w:szCs w:val="32"/>
          <w:lang w:val="en-US" w:eastAsia="zh-CN"/>
        </w:rPr>
        <w:t>和再生资源回收经营者备案登记证明</w:t>
      </w:r>
      <w:r>
        <w:rPr>
          <w:rFonts w:hint="eastAsia" w:ascii="仿宋_GB2312" w:hAnsi="仿宋_GB2312" w:eastAsia="仿宋_GB2312" w:cs="仿宋_GB2312"/>
          <w:b w:val="0"/>
          <w:bCs w:val="0"/>
          <w:sz w:val="32"/>
          <w:szCs w:val="32"/>
          <w:lang w:val="zh-CN"/>
        </w:rPr>
        <w:t>。</w:t>
      </w:r>
      <w:bookmarkStart w:id="0" w:name="_GoBack"/>
      <w:bookmarkEnd w:id="0"/>
    </w:p>
    <w:p w14:paraId="50CCBEF3">
      <w:pPr>
        <w:keepNext w:val="0"/>
        <w:keepLines w:val="0"/>
        <w:pageBreakBefore w:val="0"/>
        <w:widowControl w:val="0"/>
        <w:kinsoku/>
        <w:wordWrap/>
        <w:overflowPunct/>
        <w:topLinePunct w:val="0"/>
        <w:autoSpaceDE/>
        <w:autoSpaceDN/>
        <w:bidi w:val="0"/>
        <w:adjustRightInd/>
        <w:snapToGrid/>
        <w:spacing w:beforeLines="0" w:afterLines="0" w:line="540" w:lineRule="exact"/>
        <w:ind w:firstLine="640" w:firstLineChars="200"/>
        <w:jc w:val="both"/>
        <w:textAlignment w:val="auto"/>
        <w:rPr>
          <w:rFonts w:hint="default" w:ascii="仿宋_GB2312" w:hAnsi="仿宋_GB2312" w:eastAsia="仿宋_GB2312" w:cs="仿宋_GB2312"/>
          <w:b w:val="0"/>
          <w:bCs w:val="0"/>
          <w:color w:val="000000" w:themeColor="text1"/>
          <w:sz w:val="32"/>
          <w:szCs w:val="32"/>
          <w:lang w:val="en-US" w:eastAsia="zh-CN"/>
          <w14:textFill>
            <w14:solidFill>
              <w14:schemeClr w14:val="tx1"/>
            </w14:solidFill>
          </w14:textFill>
        </w:rPr>
      </w:pPr>
      <w:r>
        <w:rPr>
          <w:rFonts w:hint="eastAsia" w:ascii="仿宋_GB2312" w:hAnsi="仿宋_GB2312" w:eastAsia="仿宋_GB2312" w:cs="仿宋_GB2312"/>
          <w:b w:val="0"/>
          <w:bCs w:val="0"/>
          <w:i w:val="0"/>
          <w:iCs w:val="0"/>
          <w:caps w:val="0"/>
          <w:color w:val="000000" w:themeColor="text1"/>
          <w:spacing w:val="0"/>
          <w:sz w:val="32"/>
          <w:szCs w:val="32"/>
          <w:shd w:val="clear" w:fill="FFFFFF"/>
          <w:lang w:val="en-US" w:eastAsia="zh-CN"/>
          <w14:textFill>
            <w14:solidFill>
              <w14:schemeClr w14:val="tx1"/>
            </w14:solidFill>
          </w14:textFill>
        </w:rPr>
        <w:t>2.</w:t>
      </w:r>
      <w:r>
        <w:rPr>
          <w:rFonts w:hint="eastAsia" w:ascii="仿宋_GB2312" w:hAnsi="仿宋_GB2312" w:eastAsia="仿宋_GB2312" w:cs="仿宋_GB2312"/>
          <w:b w:val="0"/>
          <w:bCs w:val="0"/>
          <w:color w:val="000000" w:themeColor="text1"/>
          <w:sz w:val="32"/>
          <w:szCs w:val="32"/>
          <w:lang w:val="en-US" w:eastAsia="zh-CN"/>
          <w14:textFill>
            <w14:solidFill>
              <w14:schemeClr w14:val="tx1"/>
            </w14:solidFill>
          </w14:textFill>
        </w:rPr>
        <w:t>购买商</w:t>
      </w:r>
      <w:r>
        <w:rPr>
          <w:rFonts w:hint="eastAsia" w:ascii="仿宋_GB2312" w:hAnsi="仿宋_GB2312" w:eastAsia="仿宋_GB2312" w:cs="仿宋_GB2312"/>
          <w:b w:val="0"/>
          <w:bCs w:val="0"/>
          <w:color w:val="000000" w:themeColor="text1"/>
          <w:sz w:val="32"/>
          <w:szCs w:val="32"/>
          <w:lang w:val="zh-CN"/>
          <w14:textFill>
            <w14:solidFill>
              <w14:schemeClr w14:val="tx1"/>
            </w14:solidFill>
          </w14:textFill>
        </w:rPr>
        <w:t>承诺有能力并确保对所收购的废旧物资进行合法、安全、无害的处置，转让方对售出后的废旧物资不承担任何责任。</w:t>
      </w:r>
    </w:p>
    <w:p w14:paraId="4AD572DB">
      <w:pPr>
        <w:keepNext w:val="0"/>
        <w:keepLines w:val="0"/>
        <w:pageBreakBefore w:val="0"/>
        <w:widowControl w:val="0"/>
        <w:kinsoku/>
        <w:wordWrap/>
        <w:overflowPunct/>
        <w:topLinePunct w:val="0"/>
        <w:autoSpaceDE/>
        <w:autoSpaceDN/>
        <w:bidi w:val="0"/>
        <w:adjustRightInd/>
        <w:snapToGrid/>
        <w:spacing w:beforeLines="0" w:afterLines="0" w:line="540" w:lineRule="exact"/>
        <w:ind w:firstLine="640" w:firstLineChars="200"/>
        <w:jc w:val="both"/>
        <w:textAlignment w:val="auto"/>
        <w:rPr>
          <w:rFonts w:hint="eastAsia" w:ascii="仿宋_GB2312" w:hAnsi="仿宋_GB2312" w:eastAsia="仿宋_GB2312" w:cs="仿宋_GB2312"/>
          <w:b w:val="0"/>
          <w:bCs w:val="0"/>
          <w:color w:val="000000" w:themeColor="text1"/>
          <w:sz w:val="32"/>
          <w:szCs w:val="32"/>
          <w:lang w:val="zh-CN"/>
          <w14:textFill>
            <w14:solidFill>
              <w14:schemeClr w14:val="tx1"/>
            </w14:solidFill>
          </w14:textFill>
        </w:rPr>
      </w:pPr>
      <w:r>
        <w:rPr>
          <w:rFonts w:hint="eastAsia" w:ascii="仿宋_GB2312" w:hAnsi="仿宋_GB2312" w:eastAsia="仿宋_GB2312" w:cs="仿宋_GB2312"/>
          <w:b w:val="0"/>
          <w:bCs w:val="0"/>
          <w:color w:val="000000" w:themeColor="text1"/>
          <w:sz w:val="32"/>
          <w:szCs w:val="32"/>
          <w:lang w:val="zh-CN"/>
          <w14:textFill>
            <w14:solidFill>
              <w14:schemeClr w14:val="tx1"/>
            </w14:solidFill>
          </w14:textFill>
        </w:rPr>
        <w:t>3.资格审核：现场踏勘结束后，意向购买商可自行登录易竞拍平台查看审核结果。</w:t>
      </w:r>
    </w:p>
    <w:p w14:paraId="0095EF68">
      <w:pPr>
        <w:spacing w:line="540" w:lineRule="exact"/>
        <w:ind w:firstLine="643" w:firstLineChars="200"/>
        <w:rPr>
          <w:rFonts w:hint="eastAsia" w:ascii="仿宋_GB2312" w:hAnsi="仿宋_GB2312" w:eastAsia="仿宋_GB2312" w:cs="仿宋_GB2312"/>
          <w:b/>
          <w:bCs/>
          <w:color w:val="000000" w:themeColor="text1"/>
          <w:sz w:val="32"/>
          <w:szCs w:val="32"/>
          <w:highlight w:val="none"/>
          <w:lang w:val="zh-CN"/>
          <w14:textFill>
            <w14:solidFill>
              <w14:schemeClr w14:val="tx1"/>
            </w14:solidFill>
          </w14:textFill>
        </w:rPr>
      </w:pPr>
      <w:r>
        <w:rPr>
          <w:rFonts w:hint="eastAsia" w:ascii="仿宋_GB2312" w:hAnsi="仿宋_GB2312" w:eastAsia="仿宋_GB2312" w:cs="仿宋_GB2312"/>
          <w:b/>
          <w:bCs/>
          <w:i w:val="0"/>
          <w:iCs w:val="0"/>
          <w:caps w:val="0"/>
          <w:color w:val="000000" w:themeColor="text1"/>
          <w:spacing w:val="0"/>
          <w:sz w:val="32"/>
          <w:szCs w:val="32"/>
          <w:highlight w:val="none"/>
          <w:shd w:val="clear" w:fill="FFFFFF"/>
          <w:lang w:val="en-US" w:eastAsia="zh-CN"/>
          <w14:textFill>
            <w14:solidFill>
              <w14:schemeClr w14:val="tx1"/>
            </w14:solidFill>
          </w14:textFill>
        </w:rPr>
        <w:t>4.</w:t>
      </w:r>
      <w:r>
        <w:rPr>
          <w:rFonts w:hint="eastAsia" w:ascii="仿宋_GB2312" w:hAnsi="仿宋_GB2312" w:eastAsia="仿宋_GB2312" w:cs="仿宋_GB2312"/>
          <w:b/>
          <w:bCs/>
          <w:color w:val="000000" w:themeColor="text1"/>
          <w:sz w:val="32"/>
          <w:szCs w:val="32"/>
          <w:highlight w:val="none"/>
          <w:lang w:val="en-US" w:eastAsia="zh-CN"/>
          <w14:textFill>
            <w14:solidFill>
              <w14:schemeClr w14:val="tx1"/>
            </w14:solidFill>
          </w14:textFill>
        </w:rPr>
        <w:t>购买商</w:t>
      </w:r>
      <w:r>
        <w:rPr>
          <w:rFonts w:hint="eastAsia" w:ascii="仿宋_GB2312" w:hAnsi="仿宋_GB2312" w:eastAsia="仿宋_GB2312" w:cs="仿宋_GB2312"/>
          <w:b/>
          <w:bCs/>
          <w:color w:val="000000" w:themeColor="text1"/>
          <w:sz w:val="32"/>
          <w:szCs w:val="32"/>
          <w:highlight w:val="none"/>
          <w:lang w:val="zh-CN"/>
          <w14:textFill>
            <w14:solidFill>
              <w14:schemeClr w14:val="tx1"/>
            </w14:solidFill>
          </w14:textFill>
        </w:rPr>
        <w:t>承诺具有符合安全和环保要求的存放和拆解回收处置方废旧物资的场所，有具有相应资质的操作工人，有严格的安全和环保防范措施。</w:t>
      </w:r>
      <w:r>
        <w:rPr>
          <w:rFonts w:hint="eastAsia" w:ascii="仿宋_GB2312" w:hAnsi="仿宋_GB2312" w:eastAsia="仿宋_GB2312" w:cs="仿宋_GB2312"/>
          <w:b/>
          <w:bCs/>
          <w:sz w:val="32"/>
          <w:szCs w:val="32"/>
          <w:highlight w:val="none"/>
          <w:lang w:val="en-US" w:eastAsia="zh-CN"/>
        </w:rPr>
        <w:t>购买商</w:t>
      </w:r>
      <w:r>
        <w:rPr>
          <w:rFonts w:hint="eastAsia" w:ascii="仿宋_GB2312" w:hAnsi="仿宋_GB2312" w:eastAsia="仿宋_GB2312" w:cs="仿宋_GB2312"/>
          <w:b/>
          <w:bCs/>
          <w:sz w:val="32"/>
          <w:szCs w:val="32"/>
          <w:highlight w:val="none"/>
        </w:rPr>
        <w:t>承诺在受让报废资产过程中，委托有资质的第三方检测机构对报废资产液化石油气储罐中的水分等物质进行检测鉴定。若储罐中的水分等物质经检测鉴定属于《国家危险废物名录（2021年版）》中的危废，</w:t>
      </w:r>
      <w:r>
        <w:rPr>
          <w:rFonts w:hint="eastAsia" w:ascii="仿宋_GB2312" w:hAnsi="仿宋_GB2312" w:eastAsia="仿宋_GB2312" w:cs="仿宋_GB2312"/>
          <w:b/>
          <w:bCs/>
          <w:sz w:val="32"/>
          <w:szCs w:val="32"/>
          <w:highlight w:val="none"/>
          <w:lang w:val="en-US" w:eastAsia="zh-CN"/>
        </w:rPr>
        <w:t>购买商</w:t>
      </w:r>
      <w:r>
        <w:rPr>
          <w:rFonts w:hint="eastAsia" w:ascii="仿宋_GB2312" w:hAnsi="仿宋_GB2312" w:eastAsia="仿宋_GB2312" w:cs="仿宋_GB2312"/>
          <w:b/>
          <w:bCs/>
          <w:sz w:val="32"/>
          <w:szCs w:val="32"/>
          <w:highlight w:val="none"/>
        </w:rPr>
        <w:t>应当委托具有《危险废物经营许可证》且具备相应处置资质的单位，按照相关处理办法依法合规进行处置；若储罐中的水分等物质经检测鉴定不属于《国家危险废物名录（2021年版）》的危废，</w:t>
      </w:r>
      <w:r>
        <w:rPr>
          <w:rFonts w:hint="eastAsia" w:ascii="仿宋_GB2312" w:hAnsi="仿宋_GB2312" w:eastAsia="仿宋_GB2312" w:cs="仿宋_GB2312"/>
          <w:b/>
          <w:bCs/>
          <w:sz w:val="32"/>
          <w:szCs w:val="32"/>
          <w:highlight w:val="none"/>
          <w:lang w:val="en-US" w:eastAsia="zh-CN"/>
        </w:rPr>
        <w:t>购买商</w:t>
      </w:r>
      <w:r>
        <w:rPr>
          <w:rFonts w:hint="eastAsia" w:ascii="仿宋_GB2312" w:hAnsi="仿宋_GB2312" w:eastAsia="仿宋_GB2312" w:cs="仿宋_GB2312"/>
          <w:b/>
          <w:bCs/>
          <w:sz w:val="32"/>
          <w:szCs w:val="32"/>
          <w:highlight w:val="none"/>
        </w:rPr>
        <w:t>应当委托具有专业资质的单位依法合规进行污水处理。</w:t>
      </w:r>
      <w:r>
        <w:rPr>
          <w:rFonts w:hint="eastAsia" w:ascii="仿宋_GB2312" w:hAnsi="仿宋_GB2312" w:eastAsia="仿宋_GB2312" w:cs="仿宋_GB2312"/>
          <w:b/>
          <w:bCs/>
          <w:sz w:val="32"/>
          <w:szCs w:val="32"/>
          <w:highlight w:val="none"/>
          <w:lang w:val="en-US" w:eastAsia="zh-CN"/>
        </w:rPr>
        <w:t>购买商</w:t>
      </w:r>
      <w:r>
        <w:rPr>
          <w:rFonts w:hint="eastAsia" w:ascii="仿宋_GB2312" w:hAnsi="仿宋_GB2312" w:eastAsia="仿宋_GB2312" w:cs="仿宋_GB2312"/>
          <w:b/>
          <w:bCs/>
          <w:sz w:val="32"/>
          <w:szCs w:val="32"/>
          <w:highlight w:val="none"/>
        </w:rPr>
        <w:t>未按照上述约定处理液化石油气储罐中的水分等物质，造成的包括但不限于环境污染或第三人人身、财产损失等一切责任，均由</w:t>
      </w:r>
      <w:r>
        <w:rPr>
          <w:rFonts w:hint="eastAsia" w:ascii="仿宋_GB2312" w:hAnsi="仿宋_GB2312" w:eastAsia="仿宋_GB2312" w:cs="仿宋_GB2312"/>
          <w:b/>
          <w:bCs/>
          <w:sz w:val="32"/>
          <w:szCs w:val="32"/>
          <w:highlight w:val="none"/>
          <w:lang w:val="en-US" w:eastAsia="zh-CN"/>
        </w:rPr>
        <w:t>购买商</w:t>
      </w:r>
      <w:r>
        <w:rPr>
          <w:rFonts w:hint="eastAsia" w:ascii="仿宋_GB2312" w:hAnsi="仿宋_GB2312" w:eastAsia="仿宋_GB2312" w:cs="仿宋_GB2312"/>
          <w:b/>
          <w:bCs/>
          <w:sz w:val="32"/>
          <w:szCs w:val="32"/>
          <w:highlight w:val="none"/>
        </w:rPr>
        <w:t>承担，与</w:t>
      </w:r>
      <w:r>
        <w:rPr>
          <w:rFonts w:hint="eastAsia" w:ascii="仿宋_GB2312" w:hAnsi="仿宋_GB2312" w:eastAsia="仿宋_GB2312" w:cs="仿宋_GB2312"/>
          <w:b/>
          <w:bCs/>
          <w:sz w:val="32"/>
          <w:szCs w:val="32"/>
          <w:highlight w:val="none"/>
          <w:lang w:val="en-US" w:eastAsia="zh-CN"/>
        </w:rPr>
        <w:t>处置方</w:t>
      </w:r>
      <w:r>
        <w:rPr>
          <w:rFonts w:hint="eastAsia" w:ascii="仿宋_GB2312" w:hAnsi="仿宋_GB2312" w:eastAsia="仿宋_GB2312" w:cs="仿宋_GB2312"/>
          <w:b/>
          <w:bCs/>
          <w:sz w:val="32"/>
          <w:szCs w:val="32"/>
          <w:highlight w:val="none"/>
        </w:rPr>
        <w:t>无关；</w:t>
      </w:r>
      <w:r>
        <w:rPr>
          <w:rFonts w:hint="eastAsia" w:ascii="仿宋_GB2312" w:hAnsi="仿宋_GB2312" w:eastAsia="仿宋_GB2312" w:cs="仿宋_GB2312"/>
          <w:b/>
          <w:bCs/>
          <w:sz w:val="32"/>
          <w:szCs w:val="32"/>
          <w:highlight w:val="none"/>
          <w:lang w:val="en-US" w:eastAsia="zh-CN"/>
        </w:rPr>
        <w:t>处置方</w:t>
      </w:r>
      <w:r>
        <w:rPr>
          <w:rFonts w:hint="eastAsia" w:ascii="仿宋_GB2312" w:hAnsi="仿宋_GB2312" w:eastAsia="仿宋_GB2312" w:cs="仿宋_GB2312"/>
          <w:b/>
          <w:bCs/>
          <w:sz w:val="32"/>
          <w:szCs w:val="32"/>
          <w:highlight w:val="none"/>
        </w:rPr>
        <w:t>因此受到行政处罚或承担其他行政、民事责任的，</w:t>
      </w:r>
      <w:r>
        <w:rPr>
          <w:rFonts w:hint="eastAsia" w:ascii="仿宋_GB2312" w:hAnsi="仿宋_GB2312" w:eastAsia="仿宋_GB2312" w:cs="仿宋_GB2312"/>
          <w:b/>
          <w:bCs/>
          <w:sz w:val="32"/>
          <w:szCs w:val="32"/>
          <w:highlight w:val="none"/>
          <w:lang w:val="en-US" w:eastAsia="zh-CN"/>
        </w:rPr>
        <w:t>处置方</w:t>
      </w:r>
      <w:r>
        <w:rPr>
          <w:rFonts w:hint="eastAsia" w:ascii="仿宋_GB2312" w:hAnsi="仿宋_GB2312" w:eastAsia="仿宋_GB2312" w:cs="仿宋_GB2312"/>
          <w:b/>
          <w:bCs/>
          <w:sz w:val="32"/>
          <w:szCs w:val="32"/>
          <w:highlight w:val="none"/>
        </w:rPr>
        <w:t>有权向乙方全额追偿。同时甲方对转让后的废旧资产不承担任何责任。</w:t>
      </w:r>
    </w:p>
    <w:p w14:paraId="4D004845">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firstLine="643" w:firstLineChars="200"/>
        <w:jc w:val="both"/>
        <w:textAlignment w:val="auto"/>
        <w:rPr>
          <w:rFonts w:hint="eastAsia" w:ascii="仿宋_GB2312" w:hAnsi="仿宋_GB2312" w:eastAsia="仿宋_GB2312" w:cs="仿宋_GB2312"/>
          <w:b/>
          <w:bCs/>
          <w:color w:val="000000" w:themeColor="text1"/>
          <w:sz w:val="32"/>
          <w:szCs w:val="32"/>
          <w:highlight w:val="none"/>
          <w:lang w:val="en-US" w:eastAsia="zh-CN"/>
          <w14:textFill>
            <w14:solidFill>
              <w14:schemeClr w14:val="tx1"/>
            </w14:solidFill>
          </w14:textFill>
        </w:rPr>
      </w:pPr>
      <w:r>
        <w:rPr>
          <w:rFonts w:hint="eastAsia" w:ascii="仿宋_GB2312" w:hAnsi="仿宋_GB2312" w:eastAsia="仿宋_GB2312" w:cs="仿宋_GB2312"/>
          <w:b/>
          <w:bCs/>
          <w:color w:val="000000" w:themeColor="text1"/>
          <w:sz w:val="32"/>
          <w:szCs w:val="32"/>
          <w:highlight w:val="none"/>
          <w:lang w:val="en-US" w:eastAsia="zh-CN"/>
          <w14:textFill>
            <w14:solidFill>
              <w14:schemeClr w14:val="tx1"/>
            </w14:solidFill>
          </w14:textFill>
        </w:rPr>
        <w:t>5.报废设备需购买商</w:t>
      </w:r>
      <w:r>
        <w:rPr>
          <w:rFonts w:hint="eastAsia" w:ascii="仿宋_GB2312" w:hAnsi="仿宋_GB2312" w:eastAsia="仿宋_GB2312" w:cs="仿宋_GB2312"/>
          <w:b/>
          <w:bCs/>
          <w:color w:val="000000" w:themeColor="text1"/>
          <w:sz w:val="32"/>
          <w:szCs w:val="32"/>
          <w:highlight w:val="none"/>
          <w:lang w:val="zh-CN"/>
          <w14:textFill>
            <w14:solidFill>
              <w14:schemeClr w14:val="tx1"/>
            </w14:solidFill>
          </w14:textFill>
        </w:rPr>
        <w:t>自行解决</w:t>
      </w:r>
      <w:r>
        <w:rPr>
          <w:rFonts w:hint="eastAsia" w:ascii="仿宋_GB2312" w:hAnsi="仿宋_GB2312" w:eastAsia="仿宋_GB2312" w:cs="仿宋_GB2312"/>
          <w:b/>
          <w:bCs/>
          <w:color w:val="000000" w:themeColor="text1"/>
          <w:sz w:val="32"/>
          <w:szCs w:val="32"/>
          <w:highlight w:val="none"/>
          <w:lang w:val="en-US" w:eastAsia="zh-CN"/>
          <w14:textFill>
            <w14:solidFill>
              <w14:schemeClr w14:val="tx1"/>
            </w14:solidFill>
          </w14:textFill>
        </w:rPr>
        <w:t>吊装、</w:t>
      </w:r>
      <w:r>
        <w:rPr>
          <w:rFonts w:hint="eastAsia" w:ascii="仿宋_GB2312" w:hAnsi="仿宋_GB2312" w:eastAsia="仿宋_GB2312" w:cs="仿宋_GB2312"/>
          <w:b/>
          <w:bCs/>
          <w:color w:val="000000" w:themeColor="text1"/>
          <w:sz w:val="32"/>
          <w:szCs w:val="32"/>
          <w:highlight w:val="none"/>
          <w:lang w:val="zh-CN"/>
          <w14:textFill>
            <w14:solidFill>
              <w14:schemeClr w14:val="tx1"/>
            </w14:solidFill>
          </w14:textFill>
        </w:rPr>
        <w:t>搬运、</w:t>
      </w:r>
      <w:r>
        <w:rPr>
          <w:rFonts w:hint="eastAsia" w:ascii="仿宋_GB2312" w:hAnsi="仿宋_GB2312" w:eastAsia="仿宋_GB2312" w:cs="仿宋_GB2312"/>
          <w:b/>
          <w:bCs/>
          <w:color w:val="000000" w:themeColor="text1"/>
          <w:sz w:val="32"/>
          <w:szCs w:val="32"/>
          <w:highlight w:val="none"/>
          <w:lang w:val="en-US" w:eastAsia="zh-CN"/>
          <w14:textFill>
            <w14:solidFill>
              <w14:schemeClr w14:val="tx1"/>
            </w14:solidFill>
          </w14:textFill>
        </w:rPr>
        <w:t>拆解相关</w:t>
      </w:r>
      <w:r>
        <w:rPr>
          <w:rFonts w:hint="eastAsia" w:ascii="仿宋_GB2312" w:hAnsi="仿宋_GB2312" w:eastAsia="仿宋_GB2312" w:cs="仿宋_GB2312"/>
          <w:b/>
          <w:bCs/>
          <w:color w:val="000000" w:themeColor="text1"/>
          <w:sz w:val="32"/>
          <w:szCs w:val="32"/>
          <w:highlight w:val="none"/>
          <w:lang w:val="zh-CN"/>
          <w14:textFill>
            <w14:solidFill>
              <w14:schemeClr w14:val="tx1"/>
            </w14:solidFill>
          </w14:textFill>
        </w:rPr>
        <w:t>费用。</w:t>
      </w:r>
      <w:r>
        <w:rPr>
          <w:rFonts w:hint="eastAsia" w:ascii="仿宋_GB2312" w:hAnsi="仿宋_GB2312" w:eastAsia="仿宋_GB2312" w:cs="仿宋_GB2312"/>
          <w:b/>
          <w:bCs/>
          <w:color w:val="000000" w:themeColor="text1"/>
          <w:sz w:val="32"/>
          <w:szCs w:val="32"/>
          <w:highlight w:val="none"/>
          <w:lang w:val="en-US" w:eastAsia="zh-CN"/>
          <w14:textFill>
            <w14:solidFill>
              <w14:schemeClr w14:val="tx1"/>
            </w14:solidFill>
          </w14:textFill>
        </w:rPr>
        <w:t>现场有任何问题和甲方对接，拖走时双方需确认交接手续。本次处置物资按车辆过磅数发货，客户自行装车，并按照标的物所在单位要求到指定过磅地点进行过磅，（过磅费用由购买商承担），标的物所在单位全程监督。</w:t>
      </w:r>
    </w:p>
    <w:p w14:paraId="58BB6604">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firstLine="643" w:firstLineChars="200"/>
        <w:jc w:val="both"/>
        <w:textAlignment w:val="auto"/>
        <w:rPr>
          <w:rFonts w:hint="eastAsia" w:ascii="仿宋_GB2312" w:hAnsi="仿宋_GB2312" w:eastAsia="仿宋_GB2312" w:cs="仿宋_GB2312"/>
          <w:b/>
          <w:bCs/>
          <w:color w:val="000000" w:themeColor="text1"/>
          <w:sz w:val="32"/>
          <w:szCs w:val="32"/>
          <w:highlight w:val="none"/>
          <w:lang w:val="en-US" w:eastAsia="zh-CN"/>
          <w14:textFill>
            <w14:solidFill>
              <w14:schemeClr w14:val="tx1"/>
            </w14:solidFill>
          </w14:textFill>
        </w:rPr>
      </w:pPr>
      <w:r>
        <w:rPr>
          <w:rFonts w:hint="eastAsia" w:ascii="仿宋_GB2312" w:hAnsi="仿宋_GB2312" w:eastAsia="仿宋_GB2312" w:cs="仿宋_GB2312"/>
          <w:b/>
          <w:bCs/>
          <w:color w:val="000000" w:themeColor="text1"/>
          <w:sz w:val="32"/>
          <w:szCs w:val="32"/>
          <w:highlight w:val="none"/>
          <w:lang w:val="en-US" w:eastAsia="zh-CN"/>
          <w14:textFill>
            <w14:solidFill>
              <w14:schemeClr w14:val="tx1"/>
            </w14:solidFill>
          </w14:textFill>
        </w:rPr>
        <w:t>6.瑕疵免责申明：该批物资为废旧物资，存在部分设备配件缺失等情况。标的物具体情况以现场实物为准，购买商应自行核实、查验标的物状况，评估标的物价值，慎重决定竞价行为。若未进行实物勘察，一旦作出竞价行为，即表明已完全了解，并接受标的物的现状和一切已知及未知的瑕疵。无论中标客户将标的物用于何种目的，处置方不对该批废旧物资的质量及使用性能做任何承诺，由此引发的一切后果由客户自行承担。</w:t>
      </w:r>
    </w:p>
    <w:p w14:paraId="2062A8FB">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firstLine="640" w:firstLineChars="200"/>
        <w:jc w:val="both"/>
        <w:textAlignment w:val="auto"/>
        <w:rPr>
          <w:rFonts w:hint="eastAsia" w:ascii="仿宋_GB2312" w:hAnsi="仿宋_GB2312" w:eastAsia="仿宋_GB2312" w:cs="仿宋_GB2312"/>
          <w:b w:val="0"/>
          <w:bCs w:val="0"/>
          <w:color w:val="000000" w:themeColor="text1"/>
          <w:sz w:val="32"/>
          <w:szCs w:val="32"/>
          <w:highlight w:val="none"/>
          <w:lang w:val="en-US" w:eastAsia="zh-CN"/>
          <w14:textFill>
            <w14:solidFill>
              <w14:schemeClr w14:val="tx1"/>
            </w14:solidFill>
          </w14:textFill>
        </w:rPr>
      </w:pPr>
      <w:r>
        <w:rPr>
          <w:rFonts w:hint="eastAsia" w:ascii="仿宋_GB2312" w:hAnsi="仿宋_GB2312" w:eastAsia="仿宋_GB2312" w:cs="仿宋_GB2312"/>
          <w:b w:val="0"/>
          <w:bCs w:val="0"/>
          <w:color w:val="000000" w:themeColor="text1"/>
          <w:sz w:val="32"/>
          <w:szCs w:val="32"/>
          <w:highlight w:val="none"/>
          <w:lang w:val="en-US" w:eastAsia="zh-CN"/>
          <w14:textFill>
            <w14:solidFill>
              <w14:schemeClr w14:val="tx1"/>
            </w14:solidFill>
          </w14:textFill>
        </w:rPr>
        <w:t>7.交付：中标客户必须在收到《成交确认书》次日起第15个工作日内联系处置方签订合同（使用中石化标准文本合同）。</w:t>
      </w:r>
    </w:p>
    <w:p w14:paraId="296D677D">
      <w:pPr>
        <w:spacing w:line="540" w:lineRule="exact"/>
        <w:ind w:firstLine="643" w:firstLineChars="200"/>
        <w:rPr>
          <w:rFonts w:ascii="仿宋_GB2312" w:hAnsi="仿宋_GB2312" w:eastAsia="仿宋_GB2312" w:cs="仿宋_GB2312"/>
          <w:b/>
          <w:bCs/>
          <w:sz w:val="32"/>
          <w:szCs w:val="32"/>
          <w:highlight w:val="none"/>
        </w:rPr>
      </w:pPr>
      <w:r>
        <w:rPr>
          <w:rFonts w:hint="eastAsia" w:ascii="仿宋_GB2312" w:hAnsi="仿宋_GB2312" w:eastAsia="仿宋_GB2312" w:cs="仿宋_GB2312"/>
          <w:b/>
          <w:bCs/>
          <w:color w:val="000000" w:themeColor="text1"/>
          <w:sz w:val="32"/>
          <w:szCs w:val="32"/>
          <w:highlight w:val="none"/>
          <w:lang w:val="en-US" w:eastAsia="zh-CN"/>
          <w14:textFill>
            <w14:solidFill>
              <w14:schemeClr w14:val="tx1"/>
            </w14:solidFill>
          </w14:textFill>
        </w:rPr>
        <w:t>8.HSE相关规定：中标客户在标的物交接清理过程中，须遵守中石化、政府相关部门的安全环保等管理规定，服从标的物所在单位的安全管理和监督。中标客户施工作业时做好安全防护措施，注意现场施工安全。对于标的物处置过程中可能产生的废弃物，由中标客户全程按照相关法律法规处理。</w:t>
      </w:r>
      <w:r>
        <w:rPr>
          <w:rFonts w:hint="eastAsia" w:ascii="仿宋_GB2312" w:hAnsi="仿宋_GB2312" w:eastAsia="仿宋_GB2312" w:cs="仿宋_GB2312"/>
          <w:b/>
          <w:bCs/>
          <w:sz w:val="32"/>
          <w:szCs w:val="32"/>
          <w:highlight w:val="none"/>
        </w:rPr>
        <w:t>同时乙方到达废旧物资所在地开始装卸搬离报废物资开始，所有有关报废物资的一切管理、施工安全等责任全部由乙方承担，且在搬运过程中</w:t>
      </w:r>
      <w:r>
        <w:rPr>
          <w:rFonts w:hint="eastAsia" w:ascii="仿宋_GB2312" w:hAnsi="仿宋_GB2312" w:eastAsia="仿宋_GB2312" w:cs="仿宋_GB2312"/>
          <w:b/>
          <w:bCs/>
          <w:color w:val="000000" w:themeColor="text1"/>
          <w:sz w:val="32"/>
          <w:szCs w:val="32"/>
          <w:highlight w:val="none"/>
          <w14:textFill>
            <w14:solidFill>
              <w14:schemeClr w14:val="tx1"/>
            </w14:solidFill>
          </w14:textFill>
        </w:rPr>
        <w:t>不可在废旧物资所在场地进行拆解；搬运过程中</w:t>
      </w:r>
      <w:r>
        <w:rPr>
          <w:rFonts w:hint="eastAsia" w:ascii="仿宋_GB2312" w:hAnsi="仿宋_GB2312" w:eastAsia="仿宋_GB2312" w:cs="仿宋_GB2312"/>
          <w:b/>
          <w:bCs/>
          <w:sz w:val="32"/>
          <w:szCs w:val="32"/>
          <w:highlight w:val="none"/>
        </w:rPr>
        <w:t>造成的包括但不限于环境污染或第三人人身、财产损失等一切责任，均由乙方承担，与甲方无关；甲方因此受到行政处罚或承担其他行政、民事责任的，甲方有权向乙方全额追偿。</w:t>
      </w:r>
    </w:p>
    <w:p w14:paraId="6E6A4F22">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firstLine="640" w:firstLineChars="200"/>
        <w:jc w:val="both"/>
        <w:textAlignment w:val="auto"/>
        <w:rPr>
          <w:rFonts w:hint="default" w:ascii="仿宋_GB2312" w:hAnsi="仿宋_GB2312" w:eastAsia="仿宋_GB2312" w:cs="仿宋_GB2312"/>
          <w:b w:val="0"/>
          <w:bCs w:val="0"/>
          <w:color w:val="000000" w:themeColor="text1"/>
          <w:sz w:val="32"/>
          <w:szCs w:val="32"/>
          <w:lang w:val="en-US" w:eastAsia="zh-CN"/>
          <w14:textFill>
            <w14:solidFill>
              <w14:schemeClr w14:val="tx1"/>
            </w14:solidFill>
          </w14:textFill>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方正大标宋简体">
    <w:altName w:val="微软雅黑"/>
    <w:panose1 w:val="03000509000000000000"/>
    <w:charset w:val="86"/>
    <w:family w:val="auto"/>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仿宋_GB2312">
    <w:altName w:val="仿宋"/>
    <w:panose1 w:val="00000000000000000000"/>
    <w:charset w:val="00"/>
    <w:family w:val="auto"/>
    <w:pitch w:val="default"/>
    <w:sig w:usb0="00000000" w:usb1="00000000" w:usb2="00000000" w:usb3="00000000" w:csb0="0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33009AA"/>
    <w:rsid w:val="0A1A32D6"/>
    <w:rsid w:val="0C606A07"/>
    <w:rsid w:val="0DC60668"/>
    <w:rsid w:val="10557B8F"/>
    <w:rsid w:val="1230026D"/>
    <w:rsid w:val="12C05A6C"/>
    <w:rsid w:val="13F22942"/>
    <w:rsid w:val="242C248D"/>
    <w:rsid w:val="25B3511A"/>
    <w:rsid w:val="2AEE220F"/>
    <w:rsid w:val="2BC20E09"/>
    <w:rsid w:val="2ECD06EB"/>
    <w:rsid w:val="3493148A"/>
    <w:rsid w:val="37E31898"/>
    <w:rsid w:val="3C0931A8"/>
    <w:rsid w:val="3C777EE0"/>
    <w:rsid w:val="4615456D"/>
    <w:rsid w:val="461A0113"/>
    <w:rsid w:val="4B7954D7"/>
    <w:rsid w:val="4EA9450A"/>
    <w:rsid w:val="570B278C"/>
    <w:rsid w:val="5A89187C"/>
    <w:rsid w:val="60A6437F"/>
    <w:rsid w:val="62117753"/>
    <w:rsid w:val="64D23A1F"/>
    <w:rsid w:val="65AE1E04"/>
    <w:rsid w:val="68443BEC"/>
    <w:rsid w:val="6AEB08A0"/>
    <w:rsid w:val="6D985013"/>
    <w:rsid w:val="7A981C2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791</Words>
  <Characters>804</Characters>
  <Lines>0</Lines>
  <Paragraphs>0</Paragraphs>
  <TotalTime>15</TotalTime>
  <ScaleCrop>false</ScaleCrop>
  <LinksUpToDate>false</LinksUpToDate>
  <CharactersWithSpaces>804</CharactersWithSpaces>
  <Application>WPS Office_12.1.0.21541_F1E327BC-269C-435d-A152-05C5408002CA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2024-07-26T06:16:00Z</dcterms:created>
  <dc:creator>卜骏辉</dc:creator>
  <cp:lastModifiedBy>占进城</cp:lastModifiedBy>
  <cp:lastPrinted>2025-07-23T08:17:00Z</cp:lastPrinted>
  <dcterms:modified xsi:type="dcterms:W3CDTF">2025-07-24T09:30:24Z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2052-12.1.0.21541</vt:lpwstr>
  </property>
  <property fmtid="{D5CDD505-2E9C-101B-9397-08002B2CF9AE}" pid="3" name="ICV">
    <vt:lpwstr>3940B357B0164B01A7A548354892ABBB_13</vt:lpwstr>
  </property>
  <property fmtid="{D5CDD505-2E9C-101B-9397-08002B2CF9AE}" pid="4" name="KSOTemplateDocerSaveRecord">
    <vt:lpwstr>eyJoZGlkIjoiNmZmZWJjZDk5YjYxMGFkNjE4OTY0OTc2OGQyNTVhNDQifQ==</vt:lpwstr>
  </property>
</Properties>
</file>