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C5BD1">
      <w:pPr>
        <w:tabs>
          <w:tab w:val="center" w:pos="4253"/>
        </w:tabs>
        <w:adjustRightInd w:val="0"/>
        <w:snapToGrid w:val="0"/>
        <w:spacing w:beforeLines="0" w:afterLines="0" w:line="360" w:lineRule="auto"/>
        <w:jc w:val="center"/>
        <w:rPr>
          <w:rFonts w:ascii="宋体" w:hAnsi="宋体"/>
          <w:b/>
          <w:color w:val="FF0000"/>
          <w:sz w:val="36"/>
          <w:szCs w:val="36"/>
        </w:rPr>
      </w:pPr>
      <w:r>
        <w:rPr>
          <w:rFonts w:hint="eastAsia" w:ascii="宋体" w:hAnsi="宋体"/>
          <w:b/>
          <w:sz w:val="36"/>
          <w:szCs w:val="36"/>
        </w:rPr>
        <w:t>荆门石化-废旧物资购买商竞买须知</w:t>
      </w:r>
    </w:p>
    <w:p w14:paraId="7A6DB8C6">
      <w:pPr>
        <w:adjustRightInd w:val="0"/>
        <w:snapToGrid w:val="0"/>
        <w:spacing w:beforeLines="0" w:afterLines="0" w:line="360" w:lineRule="auto"/>
        <w:ind w:firstLine="562" w:firstLineChars="200"/>
        <w:jc w:val="left"/>
        <w:outlineLvl w:val="0"/>
        <w:rPr>
          <w:rFonts w:ascii="宋体" w:hAnsi="宋体"/>
          <w:b/>
          <w:sz w:val="28"/>
          <w:szCs w:val="28"/>
        </w:rPr>
      </w:pPr>
      <w:r>
        <w:rPr>
          <w:rFonts w:hint="eastAsia" w:ascii="宋体" w:hAnsi="宋体"/>
          <w:b/>
          <w:sz w:val="28"/>
          <w:szCs w:val="28"/>
        </w:rPr>
        <w:t>竞买人应当认真阅读并理解本须知的全部内容。</w:t>
      </w:r>
    </w:p>
    <w:p w14:paraId="3C1F75CC">
      <w:pPr>
        <w:adjustRightInd w:val="0"/>
        <w:snapToGrid w:val="0"/>
        <w:spacing w:beforeLines="0" w:afterLines="0" w:line="360" w:lineRule="auto"/>
        <w:ind w:firstLine="562" w:firstLineChars="200"/>
        <w:jc w:val="left"/>
        <w:outlineLvl w:val="0"/>
        <w:rPr>
          <w:rFonts w:ascii="宋体" w:hAnsi="宋体"/>
          <w:b/>
          <w:sz w:val="28"/>
          <w:szCs w:val="28"/>
        </w:rPr>
      </w:pPr>
      <w:r>
        <w:rPr>
          <w:rFonts w:hint="eastAsia" w:ascii="宋体" w:hAnsi="宋体"/>
          <w:b/>
          <w:sz w:val="28"/>
          <w:szCs w:val="28"/>
        </w:rPr>
        <w:t xml:space="preserve">第一部分  </w:t>
      </w:r>
    </w:p>
    <w:p w14:paraId="649CF22C">
      <w:pPr>
        <w:adjustRightInd w:val="0"/>
        <w:snapToGrid w:val="0"/>
        <w:spacing w:beforeLines="0" w:afterLines="0" w:line="460" w:lineRule="exact"/>
        <w:ind w:firstLine="560" w:firstLineChars="200"/>
        <w:jc w:val="left"/>
        <w:outlineLvl w:val="0"/>
        <w:rPr>
          <w:rFonts w:ascii="宋体" w:hAnsi="宋体"/>
          <w:sz w:val="28"/>
          <w:szCs w:val="28"/>
        </w:rPr>
      </w:pPr>
      <w:r>
        <w:rPr>
          <w:rFonts w:hint="eastAsia" w:ascii="宋体" w:hAnsi="宋体"/>
          <w:snapToGrid w:val="0"/>
          <w:kern w:val="0"/>
          <w:sz w:val="28"/>
          <w:szCs w:val="28"/>
        </w:rPr>
        <w:t>1、中国石油化工股份有限公司荆门分公司拟对一批</w:t>
      </w:r>
      <w:r>
        <w:rPr>
          <w:rFonts w:hint="eastAsia" w:ascii="宋体" w:hAnsi="宋体"/>
          <w:sz w:val="28"/>
          <w:szCs w:val="28"/>
        </w:rPr>
        <w:t>废旧物资进行网上公开竞价处置。</w:t>
      </w:r>
      <w:r>
        <w:rPr>
          <w:rFonts w:hint="eastAsia" w:ascii="宋体" w:hAnsi="宋体"/>
          <w:snapToGrid w:val="0"/>
          <w:kern w:val="0"/>
          <w:sz w:val="28"/>
          <w:szCs w:val="28"/>
        </w:rPr>
        <w:t>因该工作时间紧，作业场地小，此次处置购买商范围限制在湖北省内。</w:t>
      </w:r>
      <w:r>
        <w:rPr>
          <w:rFonts w:hint="eastAsia" w:ascii="宋体" w:hAnsi="宋体"/>
          <w:sz w:val="28"/>
          <w:szCs w:val="28"/>
        </w:rPr>
        <w:t>欢迎具备资质条件的竞买商前来竞价</w:t>
      </w:r>
      <w:r>
        <w:rPr>
          <w:rFonts w:hint="eastAsia" w:ascii="宋体" w:hAnsi="宋体"/>
          <w:sz w:val="28"/>
          <w:szCs w:val="28"/>
          <w:lang w:val="en-US" w:eastAsia="zh-CN"/>
        </w:rPr>
        <w:t>,不接受联合体参与竞拍</w:t>
      </w:r>
      <w:bookmarkStart w:id="0" w:name="_GoBack"/>
      <w:bookmarkEnd w:id="0"/>
      <w:r>
        <w:rPr>
          <w:rFonts w:hint="eastAsia" w:ascii="宋体" w:hAnsi="宋体"/>
          <w:sz w:val="28"/>
          <w:szCs w:val="28"/>
        </w:rPr>
        <w:t>。</w:t>
      </w:r>
    </w:p>
    <w:p w14:paraId="076731B8">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2、竞买商之间不得恶意串通、操纵竞买，违者依有关法律法规承担责任。</w:t>
      </w:r>
    </w:p>
    <w:p w14:paraId="2F058983">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3、竞买商应当自行对竞买标的做出判断。处置方在竞买平台上发布的与竞买标的相关的图片及其资料仅供参考，竞买商不应仅依赖图片对竞买标的状况做出判断,竞买商进入本次网络竞价页面，即表明已完全了解标的之一切现状，并愿承担一切法律责任，切莫盲目竞买。</w:t>
      </w:r>
    </w:p>
    <w:p w14:paraId="70D68C4D">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4、竞买商一旦参加竞买，即表示接受竞买标的之一切现状和本</w:t>
      </w:r>
    </w:p>
    <w:p w14:paraId="6094A43A">
      <w:pPr>
        <w:adjustRightInd w:val="0"/>
        <w:snapToGrid w:val="0"/>
        <w:spacing w:beforeLines="0" w:afterLines="0" w:line="460" w:lineRule="exact"/>
        <w:jc w:val="left"/>
        <w:outlineLvl w:val="0"/>
        <w:rPr>
          <w:rFonts w:ascii="宋体" w:hAnsi="宋体"/>
          <w:snapToGrid w:val="0"/>
          <w:kern w:val="0"/>
          <w:sz w:val="28"/>
          <w:szCs w:val="28"/>
        </w:rPr>
      </w:pPr>
      <w:r>
        <w:rPr>
          <w:rFonts w:hint="eastAsia" w:ascii="宋体" w:hAnsi="宋体"/>
          <w:snapToGrid w:val="0"/>
          <w:kern w:val="0"/>
          <w:sz w:val="28"/>
          <w:szCs w:val="28"/>
        </w:rPr>
        <w:t>规则之全部条款，并对自己的竞买行为负法律责任，不得在成交后以不了解竞买标的情况为理由反悔，一经成交确认，荆门石化及平台运营方不因标的瑕疵或可能存在的瑕疵承担任何责任。</w:t>
      </w:r>
    </w:p>
    <w:p w14:paraId="362554E8">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5、竞买商一经应价，不得撤回，当其他竞买商有更高应价时，其应价即丧失约束力。</w:t>
      </w:r>
    </w:p>
    <w:p w14:paraId="580E277D">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6、竞买标的成交后，竞买商应及时与荆门石化业务主管人员电话确认，并按电话约定成交确认书事宜，同时按成交确认书要求将货款缴纳至荆门石化指定账户，</w:t>
      </w:r>
      <w:r>
        <w:rPr>
          <w:rFonts w:ascii="宋体" w:hAnsi="宋体"/>
          <w:snapToGrid w:val="0"/>
          <w:kern w:val="0"/>
          <w:sz w:val="28"/>
          <w:szCs w:val="28"/>
        </w:rPr>
        <w:t>并</w:t>
      </w:r>
      <w:r>
        <w:rPr>
          <w:rFonts w:hint="eastAsia" w:ascii="宋体" w:hAnsi="宋体"/>
          <w:snapToGrid w:val="0"/>
          <w:kern w:val="0"/>
          <w:sz w:val="28"/>
          <w:szCs w:val="28"/>
        </w:rPr>
        <w:t>根据荆门石化</w:t>
      </w:r>
      <w:r>
        <w:rPr>
          <w:rFonts w:ascii="宋体" w:hAnsi="宋体"/>
          <w:snapToGrid w:val="0"/>
          <w:kern w:val="0"/>
          <w:sz w:val="28"/>
          <w:szCs w:val="28"/>
        </w:rPr>
        <w:t>要求</w:t>
      </w:r>
      <w:r>
        <w:rPr>
          <w:rFonts w:hint="eastAsia" w:ascii="宋体" w:hAnsi="宋体"/>
          <w:snapToGrid w:val="0"/>
          <w:kern w:val="0"/>
          <w:sz w:val="28"/>
          <w:szCs w:val="28"/>
        </w:rPr>
        <w:t>签署相关合同事宜。</w:t>
      </w:r>
    </w:p>
    <w:p w14:paraId="0F3EF95A">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7、竞买标的成交后，买受人自行与荆门石化废旧物资处置经办人协商办理竞买标的移交等一切事宜，并承担所发生的与成交标的有关的全部费用与责任。竞买标的一经买受人确认，所发生的丢失、损毁、事故、拉货过程可能产生的纠纷等责任均由买受人承担。若买受人成交后反悔，竞买保证金及履约金不予退回，并按相关规定处罚。</w:t>
      </w:r>
    </w:p>
    <w:p w14:paraId="361BD5A7">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8、买受人负责在荆门石化要求的提货地点，对竞买标的进行装运，买受人应在出卖方指定</w:t>
      </w:r>
      <w:r>
        <w:rPr>
          <w:rFonts w:ascii="宋体" w:hAnsi="宋体"/>
          <w:snapToGrid w:val="0"/>
          <w:kern w:val="0"/>
          <w:sz w:val="28"/>
          <w:szCs w:val="28"/>
        </w:rPr>
        <w:t>日期</w:t>
      </w:r>
      <w:r>
        <w:rPr>
          <w:rFonts w:hint="eastAsia" w:ascii="宋体" w:hAnsi="宋体"/>
          <w:snapToGrid w:val="0"/>
          <w:kern w:val="0"/>
          <w:sz w:val="28"/>
          <w:szCs w:val="28"/>
        </w:rPr>
        <w:t>前将竞买标的全部清运完毕，买受人可以自行确定装运方式。如竞买标的需在装运前进行拆解的，买受人应按荆门石化有关规定进行拆解处理，所产生的相关费用均由买受人自行承担。如遇特殊情况买受人无法在约定工期内完成清运，买受人必须与荆门石化协商，同意后可顺延工期。</w:t>
      </w:r>
    </w:p>
    <w:p w14:paraId="3DB9FC87">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9、买受人装运成交标的时，须听从荆门石化标的物所属单位有关负责人员的指挥，未经允许，禁止装运竞买标的以外的物资。</w:t>
      </w:r>
    </w:p>
    <w:p w14:paraId="0EACDCAE">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10、拉货期间，买受人应及时拉运，不能以竞买标的价格下跌或其他理由拒绝拉货。</w:t>
      </w:r>
    </w:p>
    <w:p w14:paraId="7EB29389">
      <w:pPr>
        <w:adjustRightInd w:val="0"/>
        <w:snapToGrid w:val="0"/>
        <w:spacing w:beforeLines="0" w:afterLines="0" w:line="460" w:lineRule="exact"/>
        <w:ind w:firstLine="560" w:firstLineChars="200"/>
        <w:jc w:val="left"/>
        <w:outlineLvl w:val="0"/>
        <w:rPr>
          <w:rFonts w:ascii="宋体" w:hAnsi="宋体"/>
          <w:sz w:val="28"/>
          <w:szCs w:val="28"/>
        </w:rPr>
      </w:pPr>
      <w:r>
        <w:rPr>
          <w:rFonts w:hint="eastAsia" w:ascii="宋体" w:hAnsi="宋体"/>
          <w:snapToGrid w:val="0"/>
          <w:kern w:val="0"/>
          <w:sz w:val="28"/>
          <w:szCs w:val="28"/>
        </w:rPr>
        <w:t>11、</w:t>
      </w:r>
      <w:r>
        <w:rPr>
          <w:rFonts w:hint="eastAsia" w:ascii="宋体" w:hAnsi="宋体"/>
          <w:sz w:val="28"/>
          <w:szCs w:val="28"/>
        </w:rPr>
        <w:t>竞价成交后，货款通过</w:t>
      </w:r>
      <w:r>
        <w:rPr>
          <w:rFonts w:hint="eastAsia" w:ascii="宋体" w:hAnsi="宋体"/>
          <w:sz w:val="28"/>
          <w:szCs w:val="28"/>
          <w:u w:val="single"/>
        </w:rPr>
        <w:t>企业银行开户帐号</w:t>
      </w:r>
      <w:r>
        <w:rPr>
          <w:rFonts w:hint="eastAsia" w:ascii="宋体" w:hAnsi="宋体"/>
          <w:sz w:val="28"/>
          <w:szCs w:val="28"/>
        </w:rPr>
        <w:t>汇入</w:t>
      </w:r>
      <w:r>
        <w:rPr>
          <w:rFonts w:hint="eastAsia" w:ascii="宋体" w:hAnsi="宋体"/>
          <w:snapToGrid w:val="0"/>
          <w:kern w:val="0"/>
          <w:sz w:val="28"/>
          <w:szCs w:val="28"/>
        </w:rPr>
        <w:t>中国石油化工股份有限公司荆门分公司</w:t>
      </w:r>
      <w:r>
        <w:rPr>
          <w:rFonts w:hint="eastAsia" w:ascii="宋体" w:hAnsi="宋体"/>
          <w:sz w:val="28"/>
          <w:szCs w:val="28"/>
        </w:rPr>
        <w:t>指定账号</w:t>
      </w:r>
      <w:r>
        <w:rPr>
          <w:rFonts w:ascii="宋体" w:hAnsi="宋体"/>
          <w:sz w:val="28"/>
          <w:szCs w:val="28"/>
        </w:rPr>
        <w:t>。</w:t>
      </w:r>
    </w:p>
    <w:p w14:paraId="4E46DB2C">
      <w:pPr>
        <w:adjustRightInd w:val="0"/>
        <w:snapToGrid w:val="0"/>
        <w:spacing w:beforeLines="0" w:afterLines="0" w:line="460" w:lineRule="exact"/>
        <w:ind w:firstLine="562" w:firstLineChars="200"/>
        <w:jc w:val="left"/>
        <w:outlineLvl w:val="0"/>
        <w:rPr>
          <w:rFonts w:ascii="宋体" w:hAnsi="宋体"/>
          <w:b/>
          <w:sz w:val="28"/>
          <w:szCs w:val="28"/>
        </w:rPr>
      </w:pPr>
      <w:r>
        <w:rPr>
          <w:rFonts w:hint="eastAsia" w:ascii="宋体" w:hAnsi="宋体"/>
          <w:b/>
          <w:sz w:val="28"/>
          <w:szCs w:val="28"/>
        </w:rPr>
        <w:t xml:space="preserve">第二部分  </w:t>
      </w:r>
    </w:p>
    <w:p w14:paraId="3BBCF6AE">
      <w:pPr>
        <w:adjustRightInd w:val="0"/>
        <w:snapToGrid w:val="0"/>
        <w:spacing w:beforeLines="0" w:afterLines="0" w:line="460" w:lineRule="exact"/>
        <w:ind w:firstLine="548" w:firstLineChars="196"/>
        <w:rPr>
          <w:rFonts w:ascii="宋体" w:hAnsi="宋体"/>
          <w:snapToGrid w:val="0"/>
          <w:kern w:val="0"/>
          <w:sz w:val="28"/>
          <w:szCs w:val="28"/>
        </w:rPr>
      </w:pPr>
      <w:r>
        <w:rPr>
          <w:rFonts w:hint="eastAsia" w:ascii="宋体" w:hAnsi="宋体"/>
          <w:snapToGrid w:val="0"/>
          <w:kern w:val="0"/>
          <w:sz w:val="28"/>
          <w:szCs w:val="28"/>
        </w:rPr>
        <w:t>1、现场清理</w:t>
      </w:r>
    </w:p>
    <w:p w14:paraId="0A349071">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（1）买受人按成交价签订合同交付货款后，方可清理拉运。</w:t>
      </w:r>
    </w:p>
    <w:p w14:paraId="2F5B8416">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（2）清理时间：签订合同后，按清理时间要求清理。</w:t>
      </w:r>
    </w:p>
    <w:p w14:paraId="24A1AF78">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（3）清理地点：荆门石化废旧料场。</w:t>
      </w:r>
    </w:p>
    <w:p w14:paraId="3B42298E">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（4）买受人要服从现场管理人员安排，按指定标的物装车，确保安全，做到工完料净场地清。买受人不得干扰单位正常工作，如发生不服从管理现象，现场管理人员有权将其记入购买商信誉度考核。</w:t>
      </w:r>
    </w:p>
    <w:p w14:paraId="00ECBA3B">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2、货款交纳与结算</w:t>
      </w:r>
    </w:p>
    <w:p w14:paraId="1A978FA4">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（1）总额50万元以内的，按要求一次交清。</w:t>
      </w:r>
    </w:p>
    <w:p w14:paraId="44A9B9D4">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（2）总额50-100万元之间的，第一次交50万元，余下的货款清理过程中按要求交清。</w:t>
      </w:r>
    </w:p>
    <w:p w14:paraId="2154276B">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（3）总额100万元以上的，第一次至少交预估货款的50%，余下的货款清理过程中按要求交清。</w:t>
      </w:r>
    </w:p>
    <w:p w14:paraId="4A34E2A1">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（4）现场清理完毕，买受人要及时办理结算手续。</w:t>
      </w:r>
    </w:p>
    <w:p w14:paraId="7D88BCE3">
      <w:pPr>
        <w:adjustRightInd w:val="0"/>
        <w:snapToGrid w:val="0"/>
        <w:spacing w:beforeLines="0" w:afterLines="0" w:line="460" w:lineRule="exact"/>
        <w:ind w:firstLine="562" w:firstLineChars="200"/>
        <w:jc w:val="left"/>
        <w:outlineLvl w:val="0"/>
        <w:rPr>
          <w:rFonts w:ascii="宋体" w:hAnsi="宋体"/>
          <w:snapToGrid w:val="0"/>
          <w:kern w:val="0"/>
          <w:sz w:val="28"/>
          <w:szCs w:val="28"/>
        </w:rPr>
      </w:pPr>
      <w:r>
        <w:rPr>
          <w:rFonts w:hint="eastAsia" w:ascii="宋体" w:hAnsi="宋体"/>
          <w:b/>
          <w:sz w:val="28"/>
          <w:szCs w:val="28"/>
        </w:rPr>
        <w:t>第三部分</w:t>
      </w:r>
    </w:p>
    <w:p w14:paraId="76BA1826">
      <w:pPr>
        <w:adjustRightInd w:val="0"/>
        <w:snapToGrid w:val="0"/>
        <w:spacing w:beforeLines="0" w:afterLines="0" w:line="460" w:lineRule="exact"/>
        <w:ind w:firstLine="551" w:firstLineChars="196"/>
        <w:rPr>
          <w:rFonts w:ascii="宋体" w:hAnsi="宋体"/>
          <w:b/>
          <w:snapToGrid w:val="0"/>
          <w:kern w:val="0"/>
          <w:sz w:val="28"/>
          <w:szCs w:val="28"/>
        </w:rPr>
      </w:pPr>
      <w:r>
        <w:rPr>
          <w:rFonts w:hint="eastAsia" w:ascii="宋体" w:hAnsi="宋体"/>
          <w:b/>
          <w:snapToGrid w:val="0"/>
          <w:kern w:val="0"/>
          <w:sz w:val="28"/>
          <w:szCs w:val="28"/>
        </w:rPr>
        <w:t>此次办理临时入厂手续按荆门石化要求办理</w:t>
      </w:r>
    </w:p>
    <w:p w14:paraId="07F23770">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1、单位资质证书（或营业执照），入厂人员保险证书</w:t>
      </w:r>
      <w:r>
        <w:rPr>
          <w:rFonts w:ascii="宋体" w:hAnsi="宋体"/>
          <w:snapToGrid w:val="0"/>
          <w:kern w:val="0"/>
          <w:sz w:val="28"/>
          <w:szCs w:val="28"/>
        </w:rPr>
        <w:t>(</w:t>
      </w:r>
      <w:r>
        <w:rPr>
          <w:rFonts w:hint="eastAsia" w:ascii="宋体" w:hAnsi="宋体"/>
          <w:snapToGrid w:val="0"/>
          <w:kern w:val="0"/>
          <w:sz w:val="28"/>
          <w:szCs w:val="28"/>
        </w:rPr>
        <w:t>或社保证明</w:t>
      </w:r>
      <w:r>
        <w:rPr>
          <w:rFonts w:ascii="宋体" w:hAnsi="宋体"/>
          <w:snapToGrid w:val="0"/>
          <w:kern w:val="0"/>
          <w:sz w:val="28"/>
          <w:szCs w:val="28"/>
        </w:rPr>
        <w:t>)</w:t>
      </w:r>
      <w:r>
        <w:rPr>
          <w:rFonts w:hint="eastAsia" w:ascii="宋体" w:hAnsi="宋体"/>
          <w:snapToGrid w:val="0"/>
          <w:kern w:val="0"/>
          <w:sz w:val="28"/>
          <w:szCs w:val="28"/>
        </w:rPr>
        <w:t>及意外伤害保险证书。</w:t>
      </w:r>
    </w:p>
    <w:p w14:paraId="137AE30D">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2、</w:t>
      </w:r>
      <w:r>
        <w:rPr>
          <w:rFonts w:ascii="宋体" w:hAnsi="宋体"/>
          <w:snapToGrid w:val="0"/>
          <w:kern w:val="0"/>
          <w:sz w:val="28"/>
          <w:szCs w:val="28"/>
        </w:rPr>
        <w:t>入厂</w:t>
      </w:r>
      <w:r>
        <w:rPr>
          <w:rFonts w:hint="eastAsia" w:ascii="宋体" w:hAnsi="宋体"/>
          <w:snapToGrid w:val="0"/>
          <w:kern w:val="0"/>
          <w:sz w:val="28"/>
          <w:szCs w:val="28"/>
        </w:rPr>
        <w:t>人员资质：主要负责人、项目负责人、专职安全生产管理人员、特种作业人员、特种设备操作人员的资质。入厂人员年龄男性小于60岁、女性小于55岁。（持有政府部门颁发的“特种作业操作证”、“特种设备作业人员证”）。</w:t>
      </w:r>
    </w:p>
    <w:p w14:paraId="60EBD03C">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3、</w:t>
      </w:r>
      <w:r>
        <w:rPr>
          <w:rFonts w:ascii="宋体" w:hAnsi="宋体"/>
          <w:snapToGrid w:val="0"/>
          <w:kern w:val="0"/>
          <w:sz w:val="28"/>
          <w:szCs w:val="28"/>
        </w:rPr>
        <w:t>入厂人员</w:t>
      </w:r>
      <w:r>
        <w:rPr>
          <w:rFonts w:hint="eastAsia" w:ascii="宋体" w:hAnsi="宋体"/>
          <w:snapToGrid w:val="0"/>
          <w:kern w:val="0"/>
          <w:sz w:val="28"/>
          <w:szCs w:val="28"/>
        </w:rPr>
        <w:t>202</w:t>
      </w:r>
      <w:r>
        <w:rPr>
          <w:rFonts w:hint="eastAsia" w:ascii="宋体" w:hAnsi="宋体"/>
          <w:snapToGrid w:val="0"/>
          <w:kern w:val="0"/>
          <w:sz w:val="28"/>
          <w:szCs w:val="28"/>
          <w:lang w:val="en-US" w:eastAsia="zh-CN"/>
        </w:rPr>
        <w:t>5</w:t>
      </w:r>
      <w:r>
        <w:rPr>
          <w:rFonts w:hint="eastAsia" w:ascii="宋体" w:hAnsi="宋体"/>
          <w:snapToGrid w:val="0"/>
          <w:kern w:val="0"/>
          <w:sz w:val="28"/>
          <w:szCs w:val="28"/>
        </w:rPr>
        <w:t>度安全教育证明。（由单位提供入厂人员培训证明，需达到要求学时，即：新员工</w:t>
      </w:r>
      <w:r>
        <w:rPr>
          <w:rFonts w:ascii="宋体" w:hAnsi="宋体"/>
          <w:snapToGrid w:val="0"/>
          <w:kern w:val="0"/>
          <w:sz w:val="28"/>
          <w:szCs w:val="28"/>
        </w:rPr>
        <w:t>72</w:t>
      </w:r>
      <w:r>
        <w:rPr>
          <w:rFonts w:hint="eastAsia" w:ascii="宋体" w:hAnsi="宋体"/>
          <w:snapToGrid w:val="0"/>
          <w:kern w:val="0"/>
          <w:sz w:val="28"/>
          <w:szCs w:val="28"/>
        </w:rPr>
        <w:t>学时，老员工4学时。）</w:t>
      </w:r>
    </w:p>
    <w:p w14:paraId="2D5CEF8D">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4、入厂人员（职业）健康体检合格证明。</w:t>
      </w:r>
    </w:p>
    <w:p w14:paraId="3BB29F30">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5、派出所出具的入厂人员无违法犯罪记录证明。</w:t>
      </w:r>
    </w:p>
    <w:p w14:paraId="4511E892">
      <w:pPr>
        <w:adjustRightInd w:val="0"/>
        <w:snapToGrid w:val="0"/>
        <w:spacing w:beforeLines="0" w:afterLines="0" w:line="460" w:lineRule="exact"/>
        <w:ind w:firstLine="560" w:firstLineChars="200"/>
        <w:jc w:val="left"/>
        <w:outlineLvl w:val="0"/>
        <w:rPr>
          <w:rFonts w:ascii="宋体" w:hAnsi="宋体"/>
          <w:snapToGrid w:val="0"/>
          <w:kern w:val="0"/>
          <w:sz w:val="28"/>
          <w:szCs w:val="28"/>
        </w:rPr>
      </w:pPr>
      <w:r>
        <w:rPr>
          <w:rFonts w:hint="eastAsia" w:ascii="宋体" w:hAnsi="宋体"/>
          <w:snapToGrid w:val="0"/>
          <w:kern w:val="0"/>
          <w:sz w:val="28"/>
          <w:szCs w:val="28"/>
        </w:rPr>
        <w:t>6、入厂人员电子版1寸照片。</w:t>
      </w:r>
    </w:p>
    <w:p w14:paraId="42B0A260">
      <w:pPr>
        <w:adjustRightInd w:val="0"/>
        <w:snapToGrid w:val="0"/>
        <w:spacing w:beforeLines="0" w:afterLines="0" w:line="460" w:lineRule="exact"/>
        <w:ind w:firstLine="560" w:firstLineChars="200"/>
        <w:jc w:val="left"/>
        <w:outlineLvl w:val="0"/>
        <w:rPr>
          <w:rFonts w:ascii="宋体" w:hAnsi="宋体"/>
          <w:snapToGrid w:val="0"/>
          <w:kern w:val="0"/>
          <w:sz w:val="28"/>
          <w:szCs w:val="28"/>
        </w:rPr>
      </w:pPr>
    </w:p>
    <w:p w14:paraId="08106DA6">
      <w:pPr>
        <w:adjustRightInd w:val="0"/>
        <w:snapToGrid w:val="0"/>
        <w:spacing w:beforeLines="0" w:afterLines="0" w:line="460" w:lineRule="exact"/>
        <w:ind w:firstLine="560" w:firstLineChars="200"/>
        <w:jc w:val="left"/>
        <w:outlineLvl w:val="0"/>
        <w:rPr>
          <w:rFonts w:ascii="宋体" w:hAnsi="宋体"/>
          <w:snapToGrid w:val="0"/>
          <w:kern w:val="0"/>
          <w:sz w:val="28"/>
          <w:szCs w:val="28"/>
        </w:rPr>
      </w:pPr>
    </w:p>
    <w:p w14:paraId="3876C920">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sz w:val="28"/>
          <w:szCs w:val="28"/>
        </w:rPr>
        <w:t xml:space="preserve">               中国石油化工股份有限公司荆门分公司</w:t>
      </w:r>
    </w:p>
    <w:p w14:paraId="2564EC88">
      <w:pPr>
        <w:adjustRightInd w:val="0"/>
        <w:snapToGrid w:val="0"/>
        <w:spacing w:beforeLines="0" w:afterLines="0" w:line="460" w:lineRule="exact"/>
        <w:ind w:firstLine="420" w:firstLineChars="150"/>
        <w:jc w:val="left"/>
        <w:outlineLvl w:val="0"/>
        <w:rPr>
          <w:rFonts w:ascii="宋体" w:hAnsi="宋体"/>
          <w:snapToGrid w:val="0"/>
          <w:kern w:val="0"/>
          <w:sz w:val="28"/>
          <w:szCs w:val="28"/>
        </w:rPr>
      </w:pPr>
      <w:r>
        <w:rPr>
          <w:rFonts w:hint="eastAsia" w:ascii="宋体" w:hAnsi="宋体"/>
          <w:snapToGrid w:val="0"/>
          <w:kern w:val="0"/>
          <w:sz w:val="28"/>
          <w:szCs w:val="28"/>
        </w:rPr>
        <w:t xml:space="preserve">                          202</w:t>
      </w:r>
      <w:r>
        <w:rPr>
          <w:rFonts w:hint="eastAsia" w:ascii="宋体" w:hAnsi="宋体"/>
          <w:snapToGrid w:val="0"/>
          <w:kern w:val="0"/>
          <w:sz w:val="28"/>
          <w:szCs w:val="28"/>
          <w:lang w:val="en-US" w:eastAsia="zh-CN"/>
        </w:rPr>
        <w:t>5</w:t>
      </w:r>
      <w:r>
        <w:rPr>
          <w:rFonts w:hint="eastAsia" w:ascii="宋体" w:hAnsi="宋体"/>
          <w:snapToGrid w:val="0"/>
          <w:kern w:val="0"/>
          <w:sz w:val="28"/>
          <w:szCs w:val="28"/>
        </w:rPr>
        <w:t>年</w:t>
      </w:r>
      <w:r>
        <w:rPr>
          <w:rFonts w:hint="eastAsia" w:ascii="宋体" w:hAnsi="宋体"/>
          <w:snapToGrid w:val="0"/>
          <w:kern w:val="0"/>
          <w:sz w:val="28"/>
          <w:szCs w:val="28"/>
          <w:lang w:val="en-US" w:eastAsia="zh-CN"/>
        </w:rPr>
        <w:t>8</w:t>
      </w:r>
      <w:r>
        <w:rPr>
          <w:rFonts w:hint="eastAsia" w:ascii="宋体" w:hAnsi="宋体"/>
          <w:snapToGrid w:val="0"/>
          <w:kern w:val="0"/>
          <w:sz w:val="28"/>
          <w:szCs w:val="28"/>
        </w:rPr>
        <w:t>月1</w:t>
      </w:r>
      <w:r>
        <w:rPr>
          <w:rFonts w:hint="eastAsia" w:ascii="宋体" w:hAnsi="宋体"/>
          <w:snapToGrid w:val="0"/>
          <w:kern w:val="0"/>
          <w:sz w:val="28"/>
          <w:szCs w:val="28"/>
          <w:lang w:val="en-US" w:eastAsia="zh-CN"/>
        </w:rPr>
        <w:t>8</w:t>
      </w:r>
      <w:r>
        <w:rPr>
          <w:rFonts w:hint="eastAsia" w:ascii="宋体" w:hAnsi="宋体"/>
          <w:snapToGrid w:val="0"/>
          <w:kern w:val="0"/>
          <w:sz w:val="28"/>
          <w:szCs w:val="28"/>
        </w:rPr>
        <w:t>日</w:t>
      </w: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53288"/>
    </w:sdtPr>
    <w:sdtContent>
      <w:p w14:paraId="28BC7252">
        <w:pPr>
          <w:pStyle w:val="3"/>
          <w:spacing w:before="240" w:after="240"/>
          <w:jc w:val="center"/>
        </w:pPr>
        <w:r>
          <w:fldChar w:fldCharType="begin"/>
        </w:r>
        <w:r>
          <w:instrText xml:space="preserve"> PAGE   \* MERGEFORMAT </w:instrText>
        </w:r>
        <w:r>
          <w:fldChar w:fldCharType="separate"/>
        </w:r>
        <w:r>
          <w:rPr>
            <w:lang w:val="zh-CN"/>
          </w:rPr>
          <w:t>1</w:t>
        </w:r>
        <w:r>
          <w:rPr>
            <w:lang w:val="zh-CN"/>
          </w:rPr>
          <w:fldChar w:fldCharType="end"/>
        </w:r>
      </w:p>
    </w:sdtContent>
  </w:sdt>
  <w:p w14:paraId="3D095C79">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59284">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280F3">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8DF9D">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A0BC3">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73E09">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2"/>
  </w:compat>
  <w:rsids>
    <w:rsidRoot w:val="0050677E"/>
    <w:rsid w:val="00023C0A"/>
    <w:rsid w:val="000353ED"/>
    <w:rsid w:val="00036D75"/>
    <w:rsid w:val="0006678A"/>
    <w:rsid w:val="000C5E3E"/>
    <w:rsid w:val="00100BD2"/>
    <w:rsid w:val="001115F8"/>
    <w:rsid w:val="001263C2"/>
    <w:rsid w:val="00174533"/>
    <w:rsid w:val="002129BD"/>
    <w:rsid w:val="002207A1"/>
    <w:rsid w:val="00223A45"/>
    <w:rsid w:val="002837BD"/>
    <w:rsid w:val="00297E01"/>
    <w:rsid w:val="002C1604"/>
    <w:rsid w:val="002F7CAA"/>
    <w:rsid w:val="00384664"/>
    <w:rsid w:val="003D358C"/>
    <w:rsid w:val="003E25FF"/>
    <w:rsid w:val="00432717"/>
    <w:rsid w:val="00442DC8"/>
    <w:rsid w:val="0046704D"/>
    <w:rsid w:val="0049439A"/>
    <w:rsid w:val="004C259F"/>
    <w:rsid w:val="004C60FE"/>
    <w:rsid w:val="0050677E"/>
    <w:rsid w:val="0056508D"/>
    <w:rsid w:val="00582A04"/>
    <w:rsid w:val="005F14FA"/>
    <w:rsid w:val="00602489"/>
    <w:rsid w:val="00635B22"/>
    <w:rsid w:val="00666FA8"/>
    <w:rsid w:val="00674FBD"/>
    <w:rsid w:val="006A5E92"/>
    <w:rsid w:val="006D6A0B"/>
    <w:rsid w:val="00700000"/>
    <w:rsid w:val="0075515B"/>
    <w:rsid w:val="0077579D"/>
    <w:rsid w:val="007947B7"/>
    <w:rsid w:val="007A6265"/>
    <w:rsid w:val="008146E1"/>
    <w:rsid w:val="00830BF6"/>
    <w:rsid w:val="00840D58"/>
    <w:rsid w:val="00873F65"/>
    <w:rsid w:val="00892966"/>
    <w:rsid w:val="0095180B"/>
    <w:rsid w:val="00997592"/>
    <w:rsid w:val="009F427D"/>
    <w:rsid w:val="00A35A77"/>
    <w:rsid w:val="00AF32C7"/>
    <w:rsid w:val="00AF7E10"/>
    <w:rsid w:val="00B12931"/>
    <w:rsid w:val="00B161FE"/>
    <w:rsid w:val="00B71034"/>
    <w:rsid w:val="00BA3A46"/>
    <w:rsid w:val="00BB1048"/>
    <w:rsid w:val="00C248A7"/>
    <w:rsid w:val="00C51E20"/>
    <w:rsid w:val="00CE0971"/>
    <w:rsid w:val="00D3102B"/>
    <w:rsid w:val="00D3206F"/>
    <w:rsid w:val="00D44AE7"/>
    <w:rsid w:val="00DE0DA1"/>
    <w:rsid w:val="00DF2D74"/>
    <w:rsid w:val="00DF4CAD"/>
    <w:rsid w:val="00E00143"/>
    <w:rsid w:val="00E00FC1"/>
    <w:rsid w:val="00E253F3"/>
    <w:rsid w:val="00E839BD"/>
    <w:rsid w:val="00EB5CC1"/>
    <w:rsid w:val="00EC2958"/>
    <w:rsid w:val="00EE0F56"/>
    <w:rsid w:val="00F47618"/>
    <w:rsid w:val="00F70B14"/>
    <w:rsid w:val="00F878AC"/>
    <w:rsid w:val="0DB41803"/>
    <w:rsid w:val="15DD5F0E"/>
    <w:rsid w:val="21577793"/>
    <w:rsid w:val="23E876D6"/>
    <w:rsid w:val="24E422D3"/>
    <w:rsid w:val="252B07E2"/>
    <w:rsid w:val="46C96045"/>
    <w:rsid w:val="520E64B3"/>
    <w:rsid w:val="58F9046E"/>
    <w:rsid w:val="63864462"/>
    <w:rsid w:val="79B56B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Lines="100" w:afterLines="10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uiPriority w:val="99"/>
    <w:rPr>
      <w:sz w:val="18"/>
      <w:szCs w:val="18"/>
    </w:rPr>
  </w:style>
  <w:style w:type="paragraph" w:styleId="3">
    <w:name w:val="footer"/>
    <w:basedOn w:val="1"/>
    <w:link w:val="8"/>
    <w:unhideWhenUsed/>
    <w:qFormat/>
    <w:uiPriority w:val="99"/>
    <w:pPr>
      <w:tabs>
        <w:tab w:val="center" w:pos="4153"/>
        <w:tab w:val="right" w:pos="8306"/>
      </w:tabs>
      <w:snapToGrid w:val="0"/>
      <w:spacing w:beforeLines="0" w:afterLines="0"/>
      <w:jc w:val="left"/>
    </w:pPr>
    <w:rPr>
      <w:rFonts w:asciiTheme="minorHAnsi" w:hAnsiTheme="minorHAnsi" w:eastAsiaTheme="minorEastAsia" w:cstheme="minorBidi"/>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spacing w:beforeLines="0" w:afterLines="0"/>
      <w:jc w:val="center"/>
    </w:pPr>
    <w:rPr>
      <w:rFonts w:asciiTheme="minorHAnsi" w:hAnsiTheme="minorHAnsi" w:eastAsiaTheme="minorEastAsia" w:cstheme="minorBidi"/>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qFormat/>
    <w:uiPriority w:val="99"/>
    <w:rPr>
      <w:sz w:val="18"/>
      <w:szCs w:val="18"/>
    </w:rPr>
  </w:style>
  <w:style w:type="paragraph" w:customStyle="1" w:styleId="9">
    <w:name w:val="列出段落1"/>
    <w:basedOn w:val="1"/>
    <w:qFormat/>
    <w:uiPriority w:val="34"/>
    <w:pPr>
      <w:ind w:firstLine="420" w:firstLineChars="200"/>
    </w:pPr>
  </w:style>
  <w:style w:type="paragraph" w:styleId="10">
    <w:name w:val="List Paragraph"/>
    <w:basedOn w:val="1"/>
    <w:qFormat/>
    <w:uiPriority w:val="34"/>
    <w:pPr>
      <w:ind w:firstLine="420" w:firstLineChars="200"/>
    </w:pPr>
  </w:style>
  <w:style w:type="character" w:customStyle="1" w:styleId="11">
    <w:name w:val="批注框文本 Char"/>
    <w:basedOn w:val="6"/>
    <w:link w:val="2"/>
    <w:semiHidden/>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249</Words>
  <Characters>1422</Characters>
  <Lines>11</Lines>
  <Paragraphs>3</Paragraphs>
  <TotalTime>59</TotalTime>
  <ScaleCrop>false</ScaleCrop>
  <LinksUpToDate>false</LinksUpToDate>
  <CharactersWithSpaces>1668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2021-05-13T01:29:00Z</dcterms:created>
  <dc:creator>lenovo</dc:creator>
  <cp:lastModifiedBy>郭爱玲</cp:lastModifiedBy>
  <dcterms:modified xsi:type="dcterms:W3CDTF">2025-08-12T01:25:47Z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170FBE5E187643119B0F786D10EA883C</vt:lpwstr>
  </property>
</Properties>
</file>